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4"/>
        </w:rPr>
        <w:t>（別紙２）　　　　　　　　　　　　　　　　　　　　　</w:t>
      </w:r>
      <w:r>
        <w:rPr>
          <w:rFonts w:hint="default"/>
          <w:sz w:val="24"/>
          <w:bdr w:val="single" w:color="000001" w:sz="4" w:space="0"/>
        </w:rPr>
        <w:t>　建築物に係る解体工事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１．分別解体等の方法</w:t>
      </w: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9"/>
        <w:gridCol w:w="1980"/>
        <w:gridCol w:w="3780"/>
        <w:gridCol w:w="3250"/>
      </w:tblGrid>
      <w:tr>
        <w:trPr>
          <w:cantSplit/>
          <w:trHeight w:val="714" w:hRule="atLeast"/>
        </w:trPr>
        <w:tc>
          <w:tcPr>
            <w:tcW w:w="45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工程ごとの作業内容及び解体方法</w:t>
            </w: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工　程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2"/>
                <w:sz w:val="24"/>
              </w:rPr>
              <w:t>作業内</w:t>
            </w:r>
            <w:r>
              <w:rPr>
                <w:rFonts w:hint="default"/>
                <w:spacing w:val="1"/>
                <w:sz w:val="24"/>
              </w:rPr>
              <w:t>容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分別解体等の方法</w:t>
            </w:r>
          </w:p>
        </w:tc>
      </w:tr>
      <w:tr>
        <w:trPr>
          <w:cantSplit/>
          <w:trHeight w:val="1247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①</w:t>
            </w:r>
            <w:r>
              <w:rPr>
                <w:rFonts w:hint="default"/>
                <w:sz w:val="24"/>
              </w:rPr>
              <w:t>建築設備・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内装材等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建築設備・内装材等の取り外し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w w:val="80"/>
                <w:sz w:val="24"/>
              </w:rPr>
              <w:t>併用の場合の理由（　　　　　　）</w:t>
            </w:r>
          </w:p>
        </w:tc>
      </w:tr>
      <w:tr>
        <w:trPr>
          <w:cantSplit/>
          <w:trHeight w:val="1248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②</w:t>
            </w:r>
            <w:r>
              <w:rPr>
                <w:rFonts w:hint="default"/>
                <w:sz w:val="24"/>
              </w:rPr>
              <w:t>屋根ふき材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屋根ふき材の取り外し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w w:val="80"/>
                <w:sz w:val="24"/>
              </w:rPr>
              <w:t>併用の場合の理由（　　　　　　）</w:t>
            </w:r>
          </w:p>
        </w:tc>
      </w:tr>
      <w:tr>
        <w:trPr>
          <w:cantSplit/>
          <w:trHeight w:val="866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③</w:t>
            </w:r>
            <w:r>
              <w:rPr>
                <w:rFonts w:hint="default"/>
                <w:sz w:val="24"/>
              </w:rPr>
              <w:t>外装材・</w:t>
            </w:r>
          </w:p>
          <w:p>
            <w:pPr>
              <w:pStyle w:val="0"/>
              <w:ind w:left="0" w:right="0" w:firstLine="240"/>
              <w:rPr>
                <w:rFonts w:hint="default"/>
              </w:rPr>
            </w:pPr>
            <w:r>
              <w:rPr>
                <w:rFonts w:hint="default"/>
                <w:sz w:val="24"/>
              </w:rPr>
              <w:t>上部構造部分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外装材・上部構造部分の取り壊し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900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④</w:t>
            </w:r>
            <w:r>
              <w:rPr>
                <w:rFonts w:hint="default"/>
                <w:sz w:val="24"/>
              </w:rPr>
              <w:t>基礎・</w:t>
            </w:r>
          </w:p>
          <w:p>
            <w:pPr>
              <w:pStyle w:val="0"/>
              <w:ind w:left="0" w:right="0" w:firstLine="240"/>
              <w:rPr>
                <w:rFonts w:hint="default"/>
              </w:rPr>
            </w:pPr>
            <w:r>
              <w:rPr>
                <w:rFonts w:hint="default"/>
                <w:sz w:val="24"/>
              </w:rPr>
              <w:t>基礎ぐい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基礎・基礎ぐいの取り壊し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77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⑤</w:t>
            </w:r>
            <w:r>
              <w:rPr>
                <w:rFonts w:hint="default"/>
                <w:sz w:val="24"/>
              </w:rPr>
              <w:t>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（　　　　　）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その他の取り壊し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z w:val="24"/>
        </w:rPr>
        <w:t>（注）分別解体等の方法については、該当がない場合は記載の必要はない。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２．解体工事に要する費用（直接工事費）　　</w:t>
      </w:r>
      <w:r>
        <w:rPr>
          <w:rFonts w:hint="default"/>
          <w:sz w:val="24"/>
          <w:u w:val="single" w:color="auto"/>
        </w:rPr>
        <w:t>　　　　　　　　　　円（税抜き）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（注）</w:t>
      </w:r>
      <w:r>
        <w:rPr>
          <w:rFonts w:hint="eastAsia"/>
          <w:sz w:val="24"/>
        </w:rPr>
        <w:t>・</w:t>
      </w:r>
      <w:r>
        <w:rPr>
          <w:rFonts w:hint="default"/>
          <w:color w:val="auto"/>
          <w:sz w:val="24"/>
        </w:rPr>
        <w:t>解体工事の場合のみ記載する。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　</w:t>
      </w:r>
      <w:r>
        <w:rPr>
          <w:rFonts w:hint="default"/>
          <w:color w:val="auto"/>
          <w:sz w:val="24"/>
        </w:rPr>
        <w:t>・解体工事に伴う分別解体及び積込みに要する費用とする。</w:t>
      </w:r>
      <w:r>
        <w:rPr>
          <w:rFonts w:hint="default"/>
          <w:sz w:val="24"/>
        </w:rPr>
        <w:t>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default"/>
          <w:color w:val="auto"/>
          <w:sz w:val="24"/>
        </w:rPr>
        <w:t>・仮設費及び運搬費は含まない。</w:t>
      </w:r>
    </w:p>
    <w:p>
      <w:pPr>
        <w:pStyle w:val="0"/>
        <w:ind w:left="0" w:leftChars="0" w:right="0" w:rightChars="0" w:firstLine="0" w:firstLineChars="0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３．再資源化等をする施設の名称及び所在地</w:t>
      </w:r>
    </w:p>
    <w:tbl>
      <w:tblPr>
        <w:tblStyle w:val="11"/>
        <w:tblInd w:w="269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39"/>
        <w:gridCol w:w="2659"/>
        <w:gridCol w:w="2932"/>
      </w:tblGrid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特定建設資材廃棄物の種類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施設の名称</w:t>
            </w: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４．再資源化等に要する費用（直接工事費）　　</w:t>
      </w:r>
      <w:r>
        <w:rPr>
          <w:rFonts w:hint="default"/>
          <w:sz w:val="24"/>
          <w:u w:val="single" w:color="auto"/>
        </w:rPr>
        <w:t>　　　　　　　　円（税抜き）</w:t>
      </w: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　　（注）　・運搬費を含む。</w:t>
      </w:r>
    </w:p>
    <w:p>
      <w:pPr>
        <w:pStyle w:val="0"/>
        <w:ind w:left="0" w:right="0" w:hanging="2"/>
        <w:rPr>
          <w:rFonts w:hint="default"/>
        </w:rPr>
      </w:pPr>
      <w:bookmarkStart w:id="0" w:name="_GoBack"/>
      <w:bookmarkEnd w:id="0"/>
    </w:p>
    <w:sectPr>
      <w:pgSz w:w="11906" w:h="16838"/>
      <w:pgMar w:top="1361" w:right="1418" w:bottom="1021" w:left="1418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suppressLineNumbers w:val="1"/>
    </w:pPr>
  </w:style>
  <w:style w:type="paragraph" w:styleId="21" w:customStyle="1">
    <w:name w:val="Table Contents"/>
    <w:basedOn w:val="0"/>
    <w:next w:val="21"/>
    <w:link w:val="0"/>
    <w:uiPriority w:val="0"/>
    <w:qFormat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qFormat/>
    <w:pPr>
      <w:suppressLineNumbers w:val="1"/>
      <w:jc w:val="center"/>
    </w:pPr>
    <w:rPr>
      <w:b w:val="1"/>
    </w:rPr>
  </w:style>
  <w:style w:type="paragraph" w:styleId="23" w:customStyle="1">
    <w:name w:val="Frame Contents"/>
    <w:basedOn w:val="0"/>
    <w:next w:val="23"/>
    <w:link w:val="0"/>
    <w:uiPriority w:val="0"/>
    <w:qFormat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470</Characters>
  <Application>JUST Note</Application>
  <Lines>147</Lines>
  <Paragraphs>48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（別表１）　　　　　　　　　　　　　　　　　　　　　　建築物に係る解体工事　</dc:title>
  <dc:creator>管財課</dc:creator>
  <cp:lastModifiedBy>Administrator</cp:lastModifiedBy>
  <cp:lastPrinted>2002-05-31T07:52:00Z</cp:lastPrinted>
  <dcterms:created xsi:type="dcterms:W3CDTF">2006-09-20T00:25:00Z</dcterms:created>
  <dcterms:modified xsi:type="dcterms:W3CDTF">2024-10-31T02:32:42Z</dcterms:modified>
  <cp:revision>2</cp:revision>
</cp:coreProperties>
</file>