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ind w:left="194" w:hanging="194" w:hangingChars="94"/>
        <w:jc w:val="center"/>
        <w:rPr>
          <w:rFonts w:hint="eastAsia" w:ascii="ＭＳ ゴシック" w:hAnsi="ＭＳ ゴシック" w:eastAsia="ＭＳ ゴシック"/>
          <w:b w:val="0"/>
          <w:sz w:val="28"/>
        </w:rPr>
      </w:pPr>
      <w:r>
        <w:rPr>
          <w:rFonts w:hint="eastAsia"/>
        </w:rPr>
        <w:drawing>
          <wp:anchor distT="0" distB="0" distL="203200" distR="203200" simplePos="0" relativeHeight="2" behindDoc="0" locked="0" layoutInCell="1" hidden="0" allowOverlap="1">
            <wp:simplePos x="0" y="0"/>
            <wp:positionH relativeFrom="column">
              <wp:posOffset>4890135</wp:posOffset>
            </wp:positionH>
            <wp:positionV relativeFrom="paragraph">
              <wp:posOffset>-231140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9"/>
                    <a:stretch>
                      <a:fillRect/>
                    </a:stretch>
                  </pic:blipFill>
                  <pic:spPr>
                    <a:xfrm>
                      <a:off x="0" y="0"/>
                      <a:ext cx="733425" cy="704850"/>
                    </a:xfrm>
                    <a:prstGeom prst="rect">
                      <a:avLst/>
                    </a:prstGeom>
                  </pic:spPr>
                </pic:pic>
              </a:graphicData>
            </a:graphic>
          </wp:anchor>
        </w:drawing>
      </w:r>
      <w:r>
        <w:rPr>
          <w:rFonts w:hint="eastAsia" w:ascii="ＭＳ ゴシック" w:hAnsi="ＭＳ ゴシック" w:eastAsia="ＭＳ ゴシック"/>
          <w:b w:val="0"/>
          <w:sz w:val="28"/>
        </w:rPr>
        <w:t>（産業廃棄物収集運搬用）</w:t>
      </w:r>
    </w:p>
    <w:p>
      <w:pPr>
        <w:pStyle w:val="0"/>
        <w:spacing w:line="340" w:lineRule="exact"/>
        <w:ind w:left="194" w:hanging="194" w:hangingChars="94"/>
        <w:jc w:val="center"/>
        <w:rPr>
          <w:rFonts w:hint="default" w:ascii="ＭＳ 明朝" w:hAnsi="ＭＳ 明朝" w:eastAsia="ＭＳ 明朝"/>
          <w:b w:val="1"/>
          <w:sz w:val="28"/>
        </w:rPr>
      </w:pPr>
      <w:r>
        <w:rPr>
          <w:rFonts w:hint="eastAsia" w:ascii="ＭＳ ゴシック" w:hAnsi="ＭＳ ゴシック" w:eastAsia="ＭＳ ゴシック"/>
          <w:b w:val="0"/>
          <w:spacing w:val="140"/>
          <w:sz w:val="28"/>
          <w:fitText w:val="3640" w:id="1"/>
        </w:rPr>
        <w:t>業務委託契約</w:t>
      </w:r>
      <w:r>
        <w:rPr>
          <w:rFonts w:hint="eastAsia" w:ascii="ＭＳ ゴシック" w:hAnsi="ＭＳ ゴシック" w:eastAsia="ＭＳ ゴシック"/>
          <w:b w:val="0"/>
          <w:sz w:val="28"/>
          <w:fitText w:val="3640" w:id="1"/>
        </w:rPr>
        <w:t>書</w:t>
      </w:r>
    </w:p>
    <w:p>
      <w:pPr>
        <w:pStyle w:val="0"/>
        <w:spacing w:line="340" w:lineRule="exact"/>
        <w:ind w:left="194" w:hanging="194" w:hangingChars="94"/>
        <w:jc w:val="both"/>
        <w:rPr>
          <w:rFonts w:hint="default" w:ascii="ＭＳ 明朝" w:hAnsi="ＭＳ 明朝" w:eastAsia="ＭＳ 明朝"/>
          <w:b w:val="1"/>
          <w:sz w:val="21"/>
        </w:rPr>
      </w:pP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別紙明細書の通り</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支払回数　</w:t>
      </w:r>
    </w:p>
    <w:p>
      <w:pPr>
        <w:pStyle w:val="0"/>
        <w:spacing w:line="360" w:lineRule="auto"/>
        <w:jc w:val="left"/>
        <w:rPr>
          <w:rFonts w:hint="eastAsia"/>
          <w:sz w:val="24"/>
        </w:rPr>
      </w:pPr>
      <w:r>
        <w:rPr>
          <w:rFonts w:hint="eastAsia"/>
          <w:sz w:val="24"/>
        </w:rPr>
        <w:t>７　契約保証金　免除</w:t>
      </w:r>
    </w:p>
    <w:p>
      <w:pPr>
        <w:pStyle w:val="0"/>
        <w:spacing w:line="360" w:lineRule="auto"/>
        <w:jc w:val="left"/>
        <w:rPr>
          <w:rFonts w:hint="eastAsia"/>
          <w:sz w:val="24"/>
        </w:rPr>
      </w:pPr>
      <w:r>
        <w:rPr>
          <w:rFonts w:hint="eastAsia"/>
          <w:sz w:val="24"/>
        </w:rPr>
        <w:t>８　廃棄物の処理及び清掃に関する法律施行令第６条の２第４号該当</w:t>
      </w: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茨城県土浦市大和町９－１</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spacing w:line="340" w:lineRule="exact"/>
        <w:ind w:left="194" w:hanging="194" w:hangingChars="94"/>
        <w:jc w:val="center"/>
        <w:rPr>
          <w:rFonts w:hint="eastAsia"/>
          <w:sz w:val="32"/>
        </w:rPr>
      </w:pPr>
      <w:r>
        <w:rPr>
          <w:rFonts w:hint="eastAsia"/>
        </w:rPr>
        <w:br w:type="page"/>
      </w:r>
      <w:r>
        <w:rPr>
          <w:rFonts w:hint="eastAsia"/>
          <w:spacing w:val="320"/>
          <w:sz w:val="32"/>
          <w:fitText w:val="2240" w:id="2"/>
        </w:rPr>
        <w:t>明細</w:t>
      </w:r>
      <w:r>
        <w:rPr>
          <w:rFonts w:hint="eastAsia"/>
          <w:sz w:val="32"/>
          <w:fitText w:val="2240" w:id="2"/>
        </w:rPr>
        <w:t>書</w:t>
      </w:r>
    </w:p>
    <w:p>
      <w:pPr>
        <w:pStyle w:val="0"/>
        <w:jc w:val="center"/>
        <w:rPr>
          <w:rFonts w:hint="eastAsia"/>
          <w:sz w:val="32"/>
        </w:rPr>
      </w:pPr>
    </w:p>
    <w:p>
      <w:pPr>
        <w:pStyle w:val="0"/>
        <w:rPr>
          <w:rFonts w:hint="eastAsia"/>
          <w:sz w:val="24"/>
        </w:rPr>
      </w:pPr>
      <w:r>
        <w:rPr>
          <w:rFonts w:hint="eastAsia"/>
          <w:sz w:val="24"/>
        </w:rPr>
        <w:t>件名　</w:t>
      </w:r>
    </w:p>
    <w:p>
      <w:pPr>
        <w:pStyle w:val="0"/>
        <w:jc w:val="right"/>
        <w:rPr>
          <w:rFonts w:hint="eastAsia"/>
          <w:sz w:val="24"/>
        </w:rPr>
      </w:pPr>
      <w:r>
        <w:rPr>
          <w:rFonts w:hint="eastAsia"/>
          <w:sz w:val="24"/>
        </w:rPr>
        <w:t>（単価額は消費税及び地方消費税を抜いた額）</w:t>
      </w:r>
    </w:p>
    <w:tbl>
      <w:tblPr>
        <w:tblStyle w:val="30"/>
        <w:tblpPr w:leftFromText="142" w:rightFromText="142" w:topFromText="0" w:bottomFromText="0" w:vertAnchor="text" w:horzAnchor="text" w:tblpX="-238" w:tblpY="58"/>
        <w:tblW w:w="0" w:type="auto"/>
        <w:tblLayout w:type="fixed"/>
        <w:tblLook w:firstRow="1" w:lastRow="0" w:firstColumn="1" w:lastColumn="0" w:noHBand="0" w:noVBand="1" w:val="04A0"/>
      </w:tblPr>
      <w:tblGrid>
        <w:gridCol w:w="2725"/>
        <w:gridCol w:w="3150"/>
        <w:gridCol w:w="1371"/>
        <w:gridCol w:w="1989"/>
      </w:tblGrid>
      <w:tr>
        <w:trPr>
          <w:trHeight w:val="723" w:hRule="atLeast"/>
        </w:trPr>
        <w:tc>
          <w:tcPr>
            <w:tcW w:w="2725"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品名</w:t>
            </w:r>
          </w:p>
        </w:tc>
        <w:tc>
          <w:tcPr>
            <w:tcW w:w="3150"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規格</w:t>
            </w:r>
          </w:p>
        </w:tc>
        <w:tc>
          <w:tcPr>
            <w:tcW w:w="1371"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単位</w:t>
            </w:r>
          </w:p>
        </w:tc>
        <w:tc>
          <w:tcPr>
            <w:tcW w:w="1989"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sz w:val="24"/>
              </w:rPr>
            </w:pPr>
            <w:r>
              <w:rPr>
                <w:rFonts w:hint="eastAsia"/>
                <w:sz w:val="24"/>
              </w:rPr>
              <w:t>単価額</w:t>
            </w:r>
          </w:p>
          <w:p>
            <w:pPr>
              <w:pStyle w:val="0"/>
              <w:jc w:val="center"/>
              <w:rPr>
                <w:rFonts w:hint="eastAsia"/>
                <w:sz w:val="24"/>
              </w:rPr>
            </w:pPr>
            <w:r>
              <w:rPr>
                <w:rFonts w:hint="eastAsia"/>
                <w:sz w:val="24"/>
              </w:rPr>
              <w:t>（単位：円）</w:t>
            </w:r>
          </w:p>
        </w:tc>
      </w:tr>
      <w:tr>
        <w:trPr>
          <w:trHeight w:val="936"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7"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35"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3150" w:type="dxa"/>
            <w:vAlign w:val="top"/>
          </w:tcPr>
          <w:p>
            <w:pPr>
              <w:pStyle w:val="0"/>
              <w:rPr>
                <w:rFonts w:hint="eastAsia"/>
              </w:rPr>
            </w:pPr>
          </w:p>
        </w:tc>
        <w:tc>
          <w:tcPr>
            <w:tcW w:w="1371" w:type="dxa"/>
            <w:vAlign w:val="top"/>
          </w:tcPr>
          <w:p>
            <w:pPr>
              <w:pStyle w:val="0"/>
              <w:rPr>
                <w:rFonts w:hint="eastAsia"/>
              </w:rPr>
            </w:pPr>
          </w:p>
        </w:tc>
        <w:tc>
          <w:tcPr>
            <w:tcW w:w="19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952" w:hRule="atLeast"/>
        </w:trPr>
        <w:tc>
          <w:tcPr>
            <w:tcW w:w="2725"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315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371"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top"/>
          </w:tcPr>
          <w:p>
            <w:pPr>
              <w:pStyle w:val="0"/>
              <w:rPr>
                <w:rFonts w:hint="eastAsia"/>
              </w:rPr>
            </w:pPr>
          </w:p>
        </w:tc>
        <w:tc>
          <w:tcPr>
            <w:tcW w:w="198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bl>
    <w:p>
      <w:pPr>
        <w:pStyle w:val="0"/>
        <w:rPr>
          <w:rFonts w:hint="eastAsia"/>
          <w:sz w:val="24"/>
        </w:rPr>
      </w:pP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jc w:val="left"/>
        <w:rPr>
          <w:rFonts w:hint="default" w:ascii="ＭＳ 明朝" w:hAnsi="ＭＳ 明朝" w:eastAsia="ＭＳ 明朝"/>
          <w:b w:val="1"/>
          <w:sz w:val="21"/>
        </w:rPr>
      </w:pPr>
      <w:r>
        <w:rPr>
          <w:rFonts w:hint="eastAsia"/>
        </w:rPr>
        <w:br w:type="page"/>
      </w:r>
    </w:p>
    <w:p>
      <w:pPr>
        <w:pStyle w:val="0"/>
        <w:spacing w:line="340" w:lineRule="exact"/>
        <w:ind w:left="194" w:hanging="194" w:hangingChars="94"/>
        <w:jc w:val="left"/>
        <w:rPr>
          <w:rFonts w:hint="default" w:ascii="ＭＳ 明朝" w:hAnsi="ＭＳ 明朝" w:eastAsia="ＭＳ 明朝"/>
          <w:b w:val="1"/>
          <w:sz w:val="21"/>
        </w:rPr>
      </w:pPr>
      <w:r>
        <w:rPr>
          <w:rFonts w:hint="eastAsia" w:ascii="ＭＳ 明朝" w:hAnsi="ＭＳ 明朝" w:eastAsia="ＭＳ 明朝"/>
          <w:b w:val="1"/>
          <w:sz w:val="21"/>
        </w:rPr>
        <w:t>産業廃棄物処理特約事項</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発注者（排出事業者）と受注者（収集運搬業者）は、本契約の委託に関し、仕様書に示す発注者の事業場から排出される産業廃棄物の収集運搬について次の事項について特約事項として締結する。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（受注者の事業範囲）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第１条　受注者の事業範囲は以下の通りである。受注者はこの事業範囲を証するものとして、許可証の写しを発注者に提出し、本契約書に添付するものとする。なお、許可事項に変更があったときは速やかにその旨を発注者に通知するともに、変更後の許可証の写しを発注者に提出し、本契約書に添付する。</w:t>
      </w:r>
    </w:p>
    <w:tbl>
      <w:tblPr>
        <w:tblStyle w:val="30"/>
        <w:tblW w:w="0" w:type="auto"/>
        <w:tblInd w:w="0" w:type="dxa"/>
        <w:tblLayout w:type="fixed"/>
        <w:tblLook w:firstRow="1" w:lastRow="0" w:firstColumn="1" w:lastColumn="0" w:noHBand="0" w:noVBand="1" w:val="04A0"/>
      </w:tblPr>
      <w:tblGrid>
        <w:gridCol w:w="3000"/>
        <w:gridCol w:w="3000"/>
        <w:gridCol w:w="3000"/>
      </w:tblGrid>
      <w:tr>
        <w:trPr>
          <w:trHeight w:val="640" w:hRule="atLeast"/>
        </w:trPr>
        <w:tc>
          <w:tcPr>
            <w:tcW w:w="300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rPr>
                <w:rFonts w:hint="eastAsia"/>
              </w:rPr>
            </w:pPr>
          </w:p>
        </w:tc>
        <w:tc>
          <w:tcPr>
            <w:tcW w:w="3000" w:type="dxa"/>
            <w:vAlign w:val="center"/>
          </w:tcPr>
          <w:p>
            <w:pPr>
              <w:pStyle w:val="0"/>
              <w:jc w:val="center"/>
              <w:rPr>
                <w:rFonts w:hint="eastAsia"/>
              </w:rPr>
            </w:pPr>
            <w:r>
              <w:rPr>
                <w:rFonts w:hint="eastAsia"/>
              </w:rPr>
              <w:t>積み込み場所</w:t>
            </w:r>
          </w:p>
        </w:tc>
        <w:tc>
          <w:tcPr>
            <w:tcW w:w="3000" w:type="dxa"/>
            <w:vAlign w:val="center"/>
          </w:tcPr>
          <w:p>
            <w:pPr>
              <w:pStyle w:val="0"/>
              <w:jc w:val="center"/>
              <w:rPr>
                <w:rFonts w:hint="eastAsia"/>
              </w:rPr>
            </w:pPr>
            <w:r>
              <w:rPr>
                <w:rFonts w:hint="eastAsia"/>
              </w:rPr>
              <w:t>荷下ろし場所</w:t>
            </w:r>
          </w:p>
        </w:tc>
      </w:tr>
      <w:tr>
        <w:trPr>
          <w:trHeight w:val="530" w:hRule="atLeast"/>
        </w:trPr>
        <w:tc>
          <w:tcPr>
            <w:tcW w:w="3000"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許可都道府県等</w:t>
            </w:r>
          </w:p>
        </w:tc>
        <w:tc>
          <w:tcPr>
            <w:tcW w:w="3000" w:type="dxa"/>
            <w:vAlign w:val="top"/>
          </w:tcPr>
          <w:p>
            <w:pPr>
              <w:pStyle w:val="0"/>
              <w:rPr>
                <w:rFonts w:hint="eastAsia"/>
              </w:rPr>
            </w:pPr>
          </w:p>
        </w:tc>
        <w:tc>
          <w:tcPr>
            <w:tcW w:w="3000" w:type="dxa"/>
            <w:vAlign w:val="top"/>
          </w:tcPr>
          <w:p>
            <w:pPr>
              <w:pStyle w:val="0"/>
              <w:rPr>
                <w:rFonts w:hint="eastAsia"/>
              </w:rPr>
            </w:pPr>
          </w:p>
        </w:tc>
      </w:tr>
      <w:tr>
        <w:trPr>
          <w:trHeight w:val="1834" w:hRule="atLeast"/>
        </w:trPr>
        <w:tc>
          <w:tcPr>
            <w:tcW w:w="3000" w:type="dxa"/>
            <w:vAlign w:val="center"/>
          </w:tcPr>
          <w:p>
            <w:pPr>
              <w:pStyle w:val="0"/>
              <w:jc w:val="both"/>
              <w:rPr>
                <w:rFonts w:hint="eastAsia"/>
              </w:rPr>
            </w:pPr>
            <w:r>
              <w:rPr>
                <w:rFonts w:hint="eastAsia"/>
              </w:rPr>
              <w:t>許可品目</w:t>
            </w:r>
          </w:p>
        </w:tc>
        <w:tc>
          <w:tcPr>
            <w:tcW w:w="3000" w:type="dxa"/>
            <w:vAlign w:val="top"/>
          </w:tcPr>
          <w:p>
            <w:pPr>
              <w:pStyle w:val="0"/>
              <w:rPr>
                <w:rFonts w:hint="eastAsia"/>
              </w:rPr>
            </w:pPr>
          </w:p>
        </w:tc>
        <w:tc>
          <w:tcPr>
            <w:tcW w:w="3000"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（委託する産業廃棄物の種類及び数量）</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第２条　発注者が受注者に収集・運搬を委託する産業廃棄物の種類及び数量は次のとおりとする。</w:t>
      </w:r>
    </w:p>
    <w:tbl>
      <w:tblPr>
        <w:tblStyle w:val="30"/>
        <w:tblW w:w="0" w:type="auto"/>
        <w:tblInd w:w="0" w:type="dxa"/>
        <w:tblLayout w:type="fixed"/>
        <w:tblLook w:firstRow="1" w:lastRow="0" w:firstColumn="1" w:lastColumn="0" w:noHBand="0" w:noVBand="1" w:val="04A0"/>
      </w:tblPr>
      <w:tblGrid>
        <w:gridCol w:w="4501"/>
        <w:gridCol w:w="4501"/>
      </w:tblGrid>
      <w:tr>
        <w:trPr/>
        <w:tc>
          <w:tcPr>
            <w:tcW w:w="4501" w:type="dxa"/>
            <w:vAlign w:val="center"/>
          </w:tcPr>
          <w:p>
            <w:pPr>
              <w:pStyle w:val="0"/>
              <w:jc w:val="center"/>
              <w:rPr>
                <w:rFonts w:hint="eastAsia"/>
              </w:rPr>
            </w:pPr>
            <w:r>
              <w:rPr>
                <w:rFonts w:hint="eastAsia"/>
              </w:rPr>
              <w:t>種類</w:t>
            </w:r>
          </w:p>
        </w:tc>
        <w:tc>
          <w:tcPr>
            <w:tcW w:w="4501" w:type="dxa"/>
            <w:vAlign w:val="center"/>
          </w:tcPr>
          <w:p>
            <w:pPr>
              <w:pStyle w:val="0"/>
              <w:jc w:val="center"/>
              <w:rPr>
                <w:rFonts w:hint="eastAsia"/>
              </w:rPr>
            </w:pPr>
            <w:r>
              <w:rPr>
                <w:rFonts w:hint="eastAsia"/>
              </w:rPr>
              <w:t>数量（単位）</w:t>
            </w: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r>
        <w:trPr/>
        <w:tc>
          <w:tcPr>
            <w:tcW w:w="4501" w:type="dxa"/>
            <w:vAlign w:val="top"/>
          </w:tcPr>
          <w:p>
            <w:pPr>
              <w:pStyle w:val="0"/>
              <w:rPr>
                <w:rFonts w:hint="eastAsia"/>
              </w:rPr>
            </w:pPr>
          </w:p>
        </w:tc>
        <w:tc>
          <w:tcPr>
            <w:tcW w:w="4501"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（運搬の最終目的地）</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第３条　受注者は、発注者から委託された前項の産業廃棄物を、発注者の指定する次の最終目的地に搬入する。</w:t>
      </w:r>
    </w:p>
    <w:tbl>
      <w:tblPr>
        <w:tblStyle w:val="30"/>
        <w:tblW w:w="0" w:type="auto"/>
        <w:tblInd w:w="0" w:type="dxa"/>
        <w:tblLayout w:type="fixed"/>
        <w:tblLook w:firstRow="1" w:lastRow="0" w:firstColumn="1" w:lastColumn="0" w:noHBand="0" w:noVBand="1" w:val="04A0"/>
      </w:tblPr>
      <w:tblGrid>
        <w:gridCol w:w="2515"/>
        <w:gridCol w:w="6487"/>
      </w:tblGrid>
      <w:tr>
        <w:trPr/>
        <w:tc>
          <w:tcPr>
            <w:tcW w:w="2515" w:type="dxa"/>
            <w:vAlign w:val="center"/>
          </w:tcPr>
          <w:p>
            <w:pPr>
              <w:pStyle w:val="0"/>
              <w:jc w:val="both"/>
              <w:rPr>
                <w:rFonts w:hint="eastAsia"/>
              </w:rPr>
            </w:pPr>
            <w:r>
              <w:rPr>
                <w:rFonts w:hint="eastAsia"/>
              </w:rPr>
              <w:t>氏名・名称（法人名）</w:t>
            </w:r>
          </w:p>
          <w:p>
            <w:pPr>
              <w:pStyle w:val="0"/>
              <w:jc w:val="both"/>
              <w:rPr>
                <w:rFonts w:hint="eastAsia"/>
              </w:rPr>
            </w:pPr>
            <w:r>
              <w:rPr>
                <w:rFonts w:hint="eastAsia"/>
              </w:rPr>
              <w:t>及び住所</w:t>
            </w:r>
          </w:p>
        </w:tc>
        <w:tc>
          <w:tcPr>
            <w:tcW w:w="6487" w:type="dxa"/>
            <w:vAlign w:val="top"/>
          </w:tcPr>
          <w:p>
            <w:pPr>
              <w:pStyle w:val="0"/>
              <w:rPr>
                <w:rFonts w:hint="eastAsia"/>
              </w:rPr>
            </w:pPr>
          </w:p>
        </w:tc>
      </w:tr>
      <w:tr>
        <w:trPr/>
        <w:tc>
          <w:tcPr>
            <w:tcW w:w="2515" w:type="dxa"/>
            <w:vAlign w:val="center"/>
          </w:tcPr>
          <w:p>
            <w:pPr>
              <w:pStyle w:val="0"/>
              <w:jc w:val="both"/>
              <w:rPr>
                <w:rFonts w:hint="eastAsia"/>
              </w:rPr>
            </w:pPr>
            <w:r>
              <w:rPr>
                <w:rFonts w:hint="eastAsia"/>
              </w:rPr>
              <w:t>許可番号及び</w:t>
            </w:r>
          </w:p>
          <w:p>
            <w:pPr>
              <w:pStyle w:val="0"/>
              <w:jc w:val="both"/>
              <w:rPr>
                <w:rFonts w:hint="eastAsia"/>
              </w:rPr>
            </w:pPr>
            <w:r>
              <w:rPr>
                <w:rFonts w:hint="eastAsia"/>
              </w:rPr>
              <w:t>許可都道府県名</w:t>
            </w:r>
          </w:p>
        </w:tc>
        <w:tc>
          <w:tcPr>
            <w:tcW w:w="6487" w:type="dxa"/>
            <w:vAlign w:val="top"/>
          </w:tcPr>
          <w:p>
            <w:pPr>
              <w:pStyle w:val="0"/>
              <w:rPr>
                <w:rFonts w:hint="eastAsia"/>
              </w:rPr>
            </w:pPr>
          </w:p>
        </w:tc>
      </w:tr>
      <w:tr>
        <w:trPr>
          <w:trHeight w:val="758" w:hRule="atLeast"/>
        </w:trPr>
        <w:tc>
          <w:tcPr>
            <w:tcW w:w="2515" w:type="dxa"/>
            <w:vAlign w:val="center"/>
          </w:tcPr>
          <w:p>
            <w:pPr>
              <w:pStyle w:val="0"/>
              <w:jc w:val="both"/>
              <w:rPr>
                <w:rFonts w:hint="eastAsia"/>
              </w:rPr>
            </w:pPr>
            <w:r>
              <w:rPr>
                <w:rFonts w:hint="eastAsia"/>
              </w:rPr>
              <w:t>事業場の名称・住所</w:t>
            </w:r>
          </w:p>
        </w:tc>
        <w:tc>
          <w:tcPr>
            <w:tcW w:w="6487" w:type="dxa"/>
            <w:vAlign w:val="top"/>
          </w:tcPr>
          <w:p>
            <w:pPr>
              <w:pStyle w:val="0"/>
              <w:rPr>
                <w:rFonts w:hint="eastAsia"/>
              </w:rPr>
            </w:pPr>
          </w:p>
        </w:tc>
      </w:tr>
      <w:tr>
        <w:trPr>
          <w:trHeight w:val="520" w:hRule="atLeast"/>
        </w:trPr>
        <w:tc>
          <w:tcPr>
            <w:tcW w:w="2515" w:type="dxa"/>
            <w:vAlign w:val="center"/>
          </w:tcPr>
          <w:p>
            <w:pPr>
              <w:pStyle w:val="0"/>
              <w:jc w:val="both"/>
              <w:rPr>
                <w:rFonts w:hint="eastAsia"/>
              </w:rPr>
            </w:pPr>
            <w:r>
              <w:rPr>
                <w:rFonts w:hint="eastAsia"/>
              </w:rPr>
              <w:t>処分方法</w:t>
            </w:r>
          </w:p>
        </w:tc>
        <w:tc>
          <w:tcPr>
            <w:tcW w:w="6487" w:type="dxa"/>
            <w:vAlign w:val="top"/>
          </w:tcPr>
          <w:p>
            <w:pPr>
              <w:pStyle w:val="0"/>
              <w:rPr>
                <w:rFonts w:hint="eastAsia"/>
              </w:rPr>
            </w:pPr>
          </w:p>
        </w:tc>
      </w:tr>
    </w:tbl>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（積替保管）</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第４条　受注者は、発注者から委託された産業廃棄物の積替えを行わない。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（適正処理に必要な情報）</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第５条　発注者は、産業廃棄物の適正な処理のために必要な以下の情報を、あらかじめ書面をもって受注者に提供しなければならない。以下の情報を具体化した「廃棄物データシート」（環境省の「廃棄物情報の提供に関するガイドライン」を参照）の項目を参考に書面の作成を行うものとす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ア　産業廃棄物の発生工程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イ　産業廃棄物の性状及び荷姿</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ウ　腐敗、揮発等性状の変化に関する事項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エ　混合等により生ずる支障</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オ　日本産業規格Ｃ</w:t>
      </w:r>
      <w:r>
        <w:rPr>
          <w:rFonts w:hint="eastAsia" w:ascii="ＭＳ 明朝" w:hAnsi="ＭＳ 明朝" w:eastAsia="ＭＳ 明朝"/>
          <w:b w:val="0"/>
          <w:sz w:val="21"/>
        </w:rPr>
        <w:t>0950</w:t>
      </w:r>
      <w:r>
        <w:rPr>
          <w:rFonts w:hint="eastAsia" w:ascii="ＭＳ 明朝" w:hAnsi="ＭＳ 明朝" w:eastAsia="ＭＳ 明朝"/>
          <w:b w:val="0"/>
          <w:sz w:val="21"/>
        </w:rPr>
        <w:t>号に規定する含有マークが付された廃製品の場合には、含有マーク表示に関する事項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カ　石綿含有産業廃棄物又は特定産業廃棄物、水銀使用製品産業廃棄物又は水銀含有ばいじん等が含まれる場合は、その事項</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キ　その他取扱いの注意事項</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２　発注者は、委託契約期間中、適正な処理及び事故防止並びに処理費用等の観点から、委託する産業廃棄物の性状等の変更があった場合は、受注者に対し速やかに書面をもってその変更の内容及び程度の情報を通知する。なお、受注者の業務及び処理方法に支障を生ずるおそれのある場合の性状等の変動幅は、製造工程又は産業廃棄物の発生工程の変更による性状の変更や腐敗等の変化、混入物の発生等の場合であり、発注者と受注者は通知する変動幅の範囲について、あらかじめ協議のうえ定めることとする。</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３　発注者は、委託する産業廃棄物の性状が書面の情報のとおりであることを確認し、受注者に引き渡す容器等に表示する（環境省の「廃棄物情報の提供に関するガイドライン」の「容器貼付用ラベル」参照）。</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発注者は、委託する産業廃棄物のマニフェストの記載事項を正確にもれなく記載し、虚偽又は記載漏れがある場合は、受注者は委託物の引き取りを一時停止しマニフェストの記載修正を発注者に求め、修正内容を確認の上、委託物を引き取ることとする。</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（責任範囲）</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第６条　受注者は、発注者から委託された産業廃棄物を、その積み込み作業の開始から、第３条に規定する運搬の最終目的地における荷下ろし作業の完了まで、法令に基づき適正に収集・運搬しなければならない。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２　受注者が、前項の業務の過程において法令に違反した業務を行い、又は過失によって発注者又は第三者に損害を及ぼしたときは、受注者においてその損害を賠償し、発注者に負担させない。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３　受注者が第１項の業務の過程において第三者に損害を及ぼした場合に、発注者の指図又は発注者の委託の仕方（発注者の委託した産業廃棄物の種類又は性状等による原因を含む。）に原因があるときは、発注者において賠償し、受注者に負担させない。</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４　第１項の業務の過程において受注者に損害が発生した場合に、発注者の指図又は発注者の委託の仕方（発注者の委託した産業廃棄物の種類又は性状等による原因を含む。）に原因がある場合は、発注者が受注者にその損害を賠償す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（再委託の禁止）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第７条　受注者は、発注者から委託された産業廃棄物の収集・運搬業務を他人に委託してはならない。ただし、発注者の書面による承諾を得て法令に定める再委託の基準に従う場合は、この限りではない。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（委託業務終了報告）</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第８条　受注者は発注者から委託された産業廃棄物の業務が終了した後、直ちに業務終了報告書を作成し、発注者に提出する。ただし、業務終了報告書は収集・運搬業務については、それぞれの運搬区間に応じたマニフェストＢ２票、Ｂ４票、Ｂ６票、又は電子マニフェストの運搬終了報告で代え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（業務の一時停止）</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第９条　受注者は、発注者から委託された産業廃棄物の適正処理を行うことが困難になり、又は困難となる恐れがある事由として、産業廃棄物の処理及び清掃に関する法律施行規則第１０条の６の２等に定める事由が生じたときは、直ちに当該委託に係る業務を一時停止し、同法第１４条第１３項等の規定に基づき、遅滞なくその旨を書面により発注者に通知し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２　発注者は、前項の通知を受けたときは、速やかに当該委託に係る産業廃棄物の処理の状況を把握する等、廃棄物の処理及び清掃に関する法律第１２条の３第８項に定める措置を講じるとともに、通知を発出した受注者が処理を適切に行えるようになるまでの間、受注者に新たな処理委託を行わない等の必要な措置を講じなければならない。</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（契約を解除した場合の産業廃棄物の取り扱い）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第１０条　発注者又は受注者から本契約及び本特約条項を解除した場合に、本契約又は本特約条項に基づいて発注者から引き渡しを受けた産業廃棄物の処理が未だに完了していないものがあるときは、受注者又は発注者は、次の措置を講じ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（１）受注者の義務違反により発注者が解除した場合</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イ　受注者は、解除された後も、その産業廃棄物に対する本契約及び本特約条項に基づく受注者の業務を遂行する責任は免れないことを承知し、その残っている産業廃棄物についての収集・運搬の業務を自ら実行するか、又は発注者の承諾を得た上、許可を有する別の業者に自己の費用をもって行わせ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ロ　受注者が他の業者に委託する場合に、その業者に対する費用を支払う資金が受注者にないときには、受注者はその旨を発注者に通知し、資金のないことを明確にしなければならない。</w:t>
      </w:r>
    </w:p>
    <w:p>
      <w:pPr>
        <w:pStyle w:val="0"/>
        <w:spacing w:line="340" w:lineRule="exact"/>
        <w:ind w:left="0" w:leftChars="0" w:hanging="226" w:hangingChars="100"/>
        <w:jc w:val="left"/>
        <w:rPr>
          <w:rFonts w:hint="eastAsia" w:ascii="ＭＳ 明朝" w:hAnsi="ＭＳ 明朝" w:eastAsia="ＭＳ 明朝"/>
          <w:b w:val="0"/>
          <w:sz w:val="21"/>
        </w:rPr>
      </w:pPr>
      <w:r>
        <w:rPr>
          <w:rFonts w:hint="eastAsia" w:ascii="ＭＳ 明朝" w:hAnsi="ＭＳ 明朝" w:eastAsia="ＭＳ 明朝"/>
          <w:b w:val="0"/>
          <w:sz w:val="21"/>
        </w:rPr>
        <w:t>ハ　上記ロの場合、発注者は、当該業者に対し、差し当たり、発注者の費用負担をもって、受注者のもとにある未処理の産業廃棄物の収集・運搬を行わしめるものとし、受注者に対して発注者が負担した費用を償還を請求することができる。</w:t>
      </w:r>
    </w:p>
    <w:p>
      <w:pPr>
        <w:pStyle w:val="0"/>
        <w:spacing w:line="340" w:lineRule="exact"/>
        <w:ind w:left="0" w:leftChars="0" w:firstLine="0" w:firstLineChars="0"/>
        <w:jc w:val="left"/>
        <w:rPr>
          <w:rFonts w:hint="eastAsia" w:ascii="ＭＳ 明朝" w:hAnsi="ＭＳ 明朝" w:eastAsia="ＭＳ 明朝"/>
          <w:b w:val="0"/>
          <w:sz w:val="21"/>
        </w:rPr>
      </w:pPr>
      <w:r>
        <w:rPr>
          <w:rFonts w:hint="eastAsia" w:ascii="ＭＳ 明朝" w:hAnsi="ＭＳ 明朝" w:eastAsia="ＭＳ 明朝"/>
          <w:b w:val="0"/>
          <w:sz w:val="21"/>
        </w:rPr>
        <w:t>（２）発注者の義務違反により受注者が解除した場合</w:t>
      </w:r>
    </w:p>
    <w:p>
      <w:pPr>
        <w:pStyle w:val="0"/>
        <w:spacing w:line="340" w:lineRule="exact"/>
        <w:ind w:left="0" w:leftChars="0" w:firstLine="226" w:firstLineChars="100"/>
        <w:jc w:val="left"/>
        <w:rPr>
          <w:rFonts w:hint="default" w:ascii="ＭＳ 明朝" w:hAnsi="ＭＳ 明朝" w:eastAsia="ＭＳ 明朝"/>
          <w:b w:val="0"/>
          <w:sz w:val="21"/>
        </w:rPr>
      </w:pPr>
      <w:r>
        <w:rPr>
          <w:rFonts w:hint="eastAsia" w:ascii="ＭＳ 明朝" w:hAnsi="ＭＳ 明朝" w:eastAsia="ＭＳ 明朝"/>
          <w:b w:val="0"/>
          <w:sz w:val="21"/>
        </w:rPr>
        <w:t>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ら発注者の事業場に運搬した上、発注者に対し当該運搬の費用を請求することができる。</w:t>
      </w:r>
    </w:p>
    <w:p>
      <w:pPr>
        <w:pStyle w:val="0"/>
        <w:spacing w:line="340" w:lineRule="exact"/>
        <w:ind w:left="0" w:leftChars="0" w:firstLine="0" w:firstLineChars="0"/>
        <w:jc w:val="left"/>
        <w:rPr>
          <w:rFonts w:hint="default" w:ascii="ＭＳ 明朝" w:hAnsi="ＭＳ 明朝" w:eastAsia="ＭＳ 明朝"/>
          <w:b w:val="0"/>
          <w:sz w:val="21"/>
        </w:rPr>
      </w:pPr>
      <w:r>
        <w:rPr>
          <w:rFonts w:hint="eastAsia" w:ascii="ＭＳ 明朝" w:hAnsi="ＭＳ 明朝" w:eastAsia="ＭＳ 明朝"/>
          <w:b w:val="0"/>
          <w:sz w:val="21"/>
        </w:rPr>
        <w:t>（特約事項の優先的効力）</w:t>
      </w:r>
    </w:p>
    <w:p>
      <w:pPr>
        <w:pStyle w:val="0"/>
        <w:spacing w:line="340" w:lineRule="exact"/>
        <w:ind w:left="0" w:leftChars="0" w:hanging="226" w:hangingChars="100"/>
        <w:jc w:val="left"/>
        <w:rPr>
          <w:rFonts w:hint="default" w:ascii="ＭＳ 明朝" w:hAnsi="ＭＳ 明朝" w:eastAsia="ＭＳ 明朝"/>
          <w:b w:val="0"/>
          <w:sz w:val="21"/>
        </w:rPr>
      </w:pPr>
      <w:r>
        <w:rPr>
          <w:rFonts w:hint="eastAsia" w:ascii="ＭＳ 明朝" w:hAnsi="ＭＳ 明朝" w:eastAsia="ＭＳ 明朝"/>
          <w:b w:val="0"/>
          <w:sz w:val="21"/>
        </w:rPr>
        <w:t>第１１条　この特約事項と本契約とで抵触する規定がある場合には、この特約事項の規定を優先的に適用するものとする。</w:t>
      </w:r>
    </w:p>
    <w:p>
      <w:pPr>
        <w:pStyle w:val="0"/>
        <w:spacing w:line="340" w:lineRule="exact"/>
        <w:ind w:left="194" w:hanging="194" w:hangingChars="94"/>
        <w:jc w:val="left"/>
        <w:rPr>
          <w:rFonts w:hint="eastAsia" w:ascii="ＭＳ 明朝" w:hAnsi="ＭＳ 明朝" w:eastAsia="ＭＳ 明朝"/>
        </w:rPr>
      </w:pPr>
      <w:r>
        <w:rPr>
          <w:rFonts w:hint="eastAsia"/>
        </w:rPr>
        <w:br w:type="page"/>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26" w:hanging="226" w:hangingChars="10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94" w:hanging="194" w:hangingChars="94"/>
        <w:jc w:val="left"/>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headerReference r:id="rId6" w:type="default"/>
      <w:footerReference r:id="rId7" w:type="even"/>
      <w:footerReference r:id="rId8" w:type="default"/>
      <w:headerReference r:id="rId5" w:type="first"/>
      <w:type w:val="nextColumn"/>
      <w:pgSz w:w="11905" w:h="16838"/>
      <w:pgMar w:top="1984" w:right="1446" w:bottom="1417" w:left="1457" w:header="454" w:footer="635" w:gutter="0"/>
      <w:cols w:space="720"/>
      <w:textDirection w:val="lrTb"/>
      <w:docGrid w:linePitch="25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5"/>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22</w:t>
    </w:r>
    <w:r>
      <w:rPr>
        <w:rFonts w:hint="eastAsia"/>
      </w:rPr>
      <w:fldChar w:fldCharType="end"/>
    </w:r>
    <w:r>
      <w:rPr>
        <w:rStyle w:val="16"/>
        <w:rFonts w:hint="eastAsia"/>
      </w:rPr>
      <w:t>－</w:t>
    </w: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15"/>
      <w:rPr>
        <w:rStyle w:val="16"/>
        <w:rFonts w:hint="eastAsia"/>
      </w:rPr>
    </w:pPr>
    <w:r>
      <w:rPr>
        <w:rStyle w:val="16"/>
        <w:rFonts w:hint="eastAsia"/>
      </w:rPr>
      <w:t>－</w:t>
    </w: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26</w:t>
    </w:r>
    <w:r>
      <w:rPr>
        <w:rFonts w:hint="eastAsia"/>
      </w:rPr>
      <w:fldChar w:fldCharType="end"/>
    </w:r>
    <w:r>
      <w:rPr>
        <w:rStyle w:val="16"/>
        <w:rFonts w:hint="eastAsia"/>
      </w:rPr>
      <w:t>－</w:t>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rPr>
        <w:rFonts w:hint="eastAsia"/>
      </w:rPr>
    </w:pPr>
    <w:r>
      <w:rPr>
        <w:rFonts w:hint="default"/>
      </w:rPr>
      <w:tab/>
    </w:r>
    <w:r>
      <w:rPr>
        <w:rFonts w:hint="default"/>
      </w:rPr>
      <w:tab/>
    </w:r>
    <w:r>
      <w:rPr>
        <w:rFonts w:hint="eastAsia"/>
      </w:rPr>
      <w:t>2023</w:t>
    </w:r>
    <w:r>
      <w:rPr>
        <w:rFonts w:hint="default"/>
      </w:rPr>
      <w:t>-04</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clear" w:pos="4252"/>
        <w:tab w:val="clear" w:pos="8504"/>
        <w:tab w:val="center" w:leader="none" w:pos="4501"/>
        <w:tab w:val="right" w:leader="none" w:pos="9002"/>
      </w:tabs>
      <w:jc w:val="center"/>
      <w:rPr>
        <w:rFonts w:hint="default" w:ascii="ＭＳ 明朝" w:hAnsi="ＭＳ 明朝" w:eastAsia="ＭＳ 明朝"/>
      </w:rPr>
    </w:pPr>
    <w:r>
      <w:rPr>
        <w:rFonts w:hint="default"/>
      </w:rPr>
      <w:tab/>
    </w:r>
    <w:r>
      <w:rPr>
        <w:rFonts w:hint="default"/>
      </w:rPr>
      <w:tab/>
    </w:r>
    <w:r>
      <w:rPr>
        <w:rFonts w:hint="eastAsia" w:ascii="ＭＳ 明朝" w:hAnsi="ＭＳ 明朝" w:eastAsia="ＭＳ 明朝"/>
      </w:rPr>
      <w:t>産廃運搬単価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emf" /><Relationship Id="rId10" Type="http://schemas.microsoft.com/office/2011/relationships/commentsExtended" Target="commentsExtended.xml" /><Relationship Id="rId11" Type="http://schemas.openxmlformats.org/officeDocument/2006/relationships/glossaryDocument" Target="glossary/document.xml" /></Relationships>
</file>

<file path=word/glossary/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styles" Target="styles.xml" /></Relationships>
</file>

<file path=word/glossary/document.xml><?xml version="1.0" encoding="utf-8"?>
<w:glossary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Parts>
    <w:docPart>
      <w:docPartPr>
        <w:name w:val="DefaultPlaceholder_1082065159"/>
        <w:category>
          <w:name w:val="全般"/>
          <w:gallery w:val="placeholder"/>
        </w:category>
        <w:types>
          <w:type w:val="bbPlcHdr"/>
        </w:types>
        <w:behaviors>
          <w:behavior w:val="content"/>
        </w:behaviors>
        <w:guid w:val="{434D3844-4ACF-4B0D-8E34-FAB2F805DB1B}"/>
      </w:docPartPr>
      <w:docPartBody>
        <w:p>
          <w:pPr>
            <w:pStyle w:val="0"/>
            <w:rPr>
              <w:rStyle w:val="28"/>
              <w:rFonts w:hint="eastAsia"/>
            </w:rPr>
          </w:pPr>
          <w:r>
            <w:rPr>
              <w:rStyle w:val="28"/>
              <w:rFonts w:hint="eastAsia"/>
            </w:rPr>
            <w:t>アイテムを選択してください。</w:t>
          </w:r>
        </w:p>
      </w:docPartBody>
    </w:docPart>
    <w:docPart>
      <w:docPartPr>
        <w:name w:val="5EFE81DD536B41B29A64876AEFA63A93"/>
        <w:category>
          <w:name w:val="全般"/>
          <w:gallery w:val="placeholder"/>
        </w:category>
        <w:types>
          <w:type w:val="bbPlcHdr"/>
        </w:types>
        <w:behaviors>
          <w:behavior w:val="content"/>
        </w:behaviors>
        <w:guid w:val="{34150504-EAEA-434D-9393-71BE59B8C3E3}"/>
      </w:docPartPr>
      <w:docPartBody>
        <w:p>
          <w:pPr>
            <w:pStyle w:val="0"/>
            <w:rPr>
              <w:rStyle w:val="28"/>
              <w:rFonts w:hint="eastAsia"/>
            </w:rPr>
          </w:pPr>
          <w:r>
            <w:rPr>
              <w:rStyle w:val="28"/>
              <w:rFonts w:hint="eastAsia"/>
            </w:rPr>
            <w:t>アイテムを選択してください。</w:t>
          </w:r>
        </w:p>
      </w:docPartBody>
    </w:docPart>
  </w:docParts>
</w:glossaryDocument>
</file>

<file path=word/glossary/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明朝体">
    <w:panose1 w:val="00000000000000000000"/>
    <w:charset w:val="80"/>
    <w:family w:val="roma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glossary/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0"/>
  <w:defaultTabStop w:val="720"/>
  <w:hyphenationZone w:val="0"/>
  <w:doNotHyphenateCaps/>
  <w:defaultTableStyle w:val="30"/>
  <w:displayHorizontalDrawingGridEvery w:val="0"/>
  <w:displayVerticalDrawingGridEvery w:val="2"/>
  <w:doNotShadeFormData/>
  <w:noLineBreaksAfter w:lang="ja-JP" w:val=""/>
  <w:noLineBreaksBefore w:lang="ja-JP" w:val="!%),.:;?]}°’”‰′″℃、。々〉》」』】〕゛゜ゝゞ・ヽヾ！％），．：；？］｝｡｣､･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glossary/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明朝体" w:hAnsi="明朝体" w:eastAsia="明朝体"/>
      </w:rPr>
    </w:rPrDefault>
  </w:docDefaults>
  <w:style w:type="paragraph" w:styleId="0" w:default="1">
    <w:name w:val="Normal"/>
    <w:next w:val="0"/>
    <w:link w:val="0"/>
    <w:uiPriority w:val="0"/>
    <w:qFormat/>
    <w:pPr>
      <w:widowControl w:val="0"/>
      <w:autoSpaceDE w:val="0"/>
      <w:autoSpaceDN w:val="0"/>
      <w:spacing w:line="358" w:lineRule="atLeast"/>
      <w:jc w:val="both"/>
    </w:pPr>
    <w:rPr>
      <w:spacing w:val="8"/>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2"/>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23"/>
    <w:uiPriority w:val="0"/>
    <w:pPr>
      <w:tabs>
        <w:tab w:val="center" w:leader="none" w:pos="4252"/>
        <w:tab w:val="right" w:leader="none" w:pos="8504"/>
      </w:tabs>
      <w:snapToGrid w:val="0"/>
    </w:pPr>
  </w:style>
  <w:style w:type="paragraph" w:styleId="18">
    <w:name w:val="Balloon Text"/>
    <w:basedOn w:val="0"/>
    <w:next w:val="18"/>
    <w:link w:val="19"/>
    <w:uiPriority w:val="0"/>
    <w:semiHidden/>
    <w:pPr>
      <w:spacing w:line="240" w:lineRule="auto"/>
    </w:pPr>
    <w:rPr>
      <w:rFonts w:ascii="Arial" w:hAnsi="Arial" w:eastAsia="ＭＳ ゴシック"/>
      <w:sz w:val="18"/>
    </w:rPr>
  </w:style>
  <w:style w:type="character" w:styleId="19" w:customStyle="1">
    <w:name w:val="吹き出し (文字)"/>
    <w:next w:val="19"/>
    <w:link w:val="18"/>
    <w:uiPriority w:val="0"/>
    <w:rPr>
      <w:rFonts w:ascii="Arial" w:hAnsi="Arial" w:eastAsia="ＭＳ ゴシック"/>
      <w:spacing w:val="8"/>
      <w:kern w:val="2"/>
      <w:sz w:val="18"/>
    </w:rPr>
  </w:style>
  <w:style w:type="paragraph" w:styleId="20">
    <w:name w:val="Body Text Indent"/>
    <w:basedOn w:val="0"/>
    <w:next w:val="20"/>
    <w:link w:val="21"/>
    <w:uiPriority w:val="0"/>
    <w:pPr>
      <w:wordWrap w:val="0"/>
      <w:spacing w:line="360" w:lineRule="exact"/>
      <w:ind w:left="416" w:hanging="416" w:hangingChars="200"/>
    </w:pPr>
    <w:rPr>
      <w:spacing w:val="9"/>
    </w:rPr>
  </w:style>
  <w:style w:type="character" w:styleId="21" w:customStyle="1">
    <w:name w:val="本文インデント (文字)"/>
    <w:next w:val="21"/>
    <w:link w:val="20"/>
    <w:uiPriority w:val="0"/>
    <w:rPr>
      <w:spacing w:val="9"/>
      <w:kern w:val="2"/>
      <w:sz w:val="19"/>
    </w:rPr>
  </w:style>
  <w:style w:type="character" w:styleId="22" w:customStyle="1">
    <w:name w:val="フッター (文字)"/>
    <w:next w:val="22"/>
    <w:link w:val="15"/>
    <w:uiPriority w:val="0"/>
    <w:rPr>
      <w:spacing w:val="8"/>
      <w:kern w:val="2"/>
      <w:sz w:val="19"/>
    </w:rPr>
  </w:style>
  <w:style w:type="character" w:styleId="23" w:customStyle="1">
    <w:name w:val="ヘッダー (文字)"/>
    <w:next w:val="23"/>
    <w:link w:val="17"/>
    <w:uiPriority w:val="0"/>
    <w:rPr>
      <w:spacing w:val="8"/>
      <w:kern w:val="2"/>
      <w:sz w:val="19"/>
    </w:rPr>
  </w:style>
  <w:style w:type="paragraph" w:styleId="24">
    <w:name w:val="List Paragraph"/>
    <w:basedOn w:val="0"/>
    <w:next w:val="24"/>
    <w:link w:val="0"/>
    <w:uiPriority w:val="0"/>
    <w:qFormat/>
    <w:pPr>
      <w:autoSpaceDE w:val="1"/>
      <w:autoSpaceDN w:val="1"/>
      <w:spacing w:line="240" w:lineRule="auto"/>
      <w:ind w:left="840" w:leftChars="400"/>
    </w:pPr>
    <w:rPr>
      <w:rFonts w:ascii="Century" w:hAnsi="Century" w:eastAsia="ＭＳ 明朝"/>
      <w:spacing w:val="0"/>
      <w:sz w:val="21"/>
    </w:rPr>
  </w:style>
  <w:style w:type="paragraph" w:styleId="25">
    <w:name w:val="Revision"/>
    <w:next w:val="25"/>
    <w:link w:val="0"/>
    <w:uiPriority w:val="0"/>
    <w:rPr>
      <w:spacing w:val="8"/>
      <w:kern w:val="2"/>
      <w:sz w:val="19"/>
    </w:rPr>
  </w:style>
  <w:style w:type="character" w:styleId="26">
    <w:name w:val="footnote reference"/>
    <w:next w:val="26"/>
    <w:link w:val="0"/>
    <w:uiPriority w:val="0"/>
    <w:semiHidden/>
    <w:rPr>
      <w:vertAlign w:val="superscript"/>
    </w:rPr>
  </w:style>
  <w:style w:type="character" w:styleId="27">
    <w:name w:val="endnote reference"/>
    <w:next w:val="27"/>
    <w:link w:val="0"/>
    <w:uiPriority w:val="0"/>
    <w:semiHidden/>
    <w:rPr>
      <w:vertAlign w:val="superscript"/>
    </w:rPr>
  </w:style>
  <w:style w:type="character" w:styleId="28">
    <w:name w:val="Placeholder Text"/>
    <w:basedOn w:val="10"/>
    <w:next w:val="28"/>
    <w:link w:val="0"/>
    <w:uiPriority w:val="0"/>
    <w:rPr>
      <w:color w:val="808080"/>
    </w:rPr>
  </w:style>
  <w:style w:type="table" w:styleId="29">
    <w:name w:val="Table Grid"/>
    <w:basedOn w:val="11"/>
    <w:next w:val="29"/>
    <w:link w:val="0"/>
    <w:uiPriority w:val="0"/>
    <w:rPr>
      <w:rFonts w:ascii="Century" w:hAnsi="Century" w:eastAsia="ＭＳ 明朝"/>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シンプル 1）"/>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806</TotalTime>
  <Pages>29</Pages>
  <Words>34</Words>
  <Characters>28785</Characters>
  <Application>JUST Note</Application>
  <Lines>1102</Lines>
  <Paragraphs>449</Paragraphs>
  <CharactersWithSpaces>29539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（総則）</dc:title>
  <dc:creator>管財課</dc:creator>
  <cp:lastModifiedBy>Administrator</cp:lastModifiedBy>
  <cp:lastPrinted>2024-10-15T00:00:58Z</cp:lastPrinted>
  <dcterms:created xsi:type="dcterms:W3CDTF">2023-03-28T00:43:00Z</dcterms:created>
  <dcterms:modified xsi:type="dcterms:W3CDTF">2024-11-15T02:26:36Z</dcterms:modified>
  <cp:revision>10</cp:revision>
</cp:coreProperties>
</file>