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94" w:hanging="194" w:hangingChars="94"/>
        <w:jc w:val="center"/>
        <w:rPr>
          <w:rFonts w:hint="eastAsia" w:ascii="ＭＳ ゴシック" w:hAnsi="ＭＳ ゴシック" w:eastAsia="ＭＳ ゴシック"/>
          <w:b w:val="0"/>
          <w:sz w:val="28"/>
        </w:rPr>
      </w:pPr>
      <w:r>
        <w:rPr>
          <w:rFonts w:hint="eastAsia"/>
        </w:rPr>
        <w:drawing>
          <wp:anchor distT="0" distB="0" distL="203200" distR="203200" simplePos="0" relativeHeight="2" behindDoc="0" locked="0" layoutInCell="1" hidden="0" allowOverlap="1">
            <wp:simplePos x="0" y="0"/>
            <wp:positionH relativeFrom="column">
              <wp:posOffset>4861560</wp:posOffset>
            </wp:positionH>
            <wp:positionV relativeFrom="paragraph">
              <wp:posOffset>121285</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733425" cy="704850"/>
                    </a:xfrm>
                    <a:prstGeom prst="rect">
                      <a:avLst/>
                    </a:prstGeom>
                  </pic:spPr>
                </pic:pic>
              </a:graphicData>
            </a:graphic>
          </wp:anchor>
        </w:drawing>
      </w:r>
      <w:r>
        <w:rPr>
          <w:rFonts w:hint="eastAsia" w:ascii="ＭＳ ゴシック" w:hAnsi="ＭＳ ゴシック" w:eastAsia="ＭＳ ゴシック"/>
          <w:b w:val="0"/>
          <w:sz w:val="28"/>
        </w:rPr>
        <w:t>（産業廃棄物処分用）</w:t>
      </w:r>
    </w:p>
    <w:p>
      <w:pPr>
        <w:pStyle w:val="0"/>
        <w:spacing w:line="340" w:lineRule="exact"/>
        <w:ind w:left="194" w:hanging="194" w:hangingChars="94"/>
        <w:jc w:val="center"/>
        <w:rPr>
          <w:rFonts w:hint="default" w:ascii="ＭＳ 明朝" w:hAnsi="ＭＳ 明朝" w:eastAsia="ＭＳ 明朝"/>
          <w:b w:val="1"/>
          <w:sz w:val="28"/>
        </w:rPr>
      </w:pPr>
      <w:r>
        <w:rPr>
          <w:rFonts w:hint="eastAsia" w:ascii="ＭＳ ゴシック" w:hAnsi="ＭＳ ゴシック" w:eastAsia="ＭＳ ゴシック"/>
          <w:b w:val="0"/>
          <w:spacing w:val="140"/>
          <w:sz w:val="28"/>
          <w:fitText w:val="3640" w:id="1"/>
        </w:rPr>
        <w:t>業務委託契約</w:t>
      </w:r>
      <w:r>
        <w:rPr>
          <w:rFonts w:hint="eastAsia" w:ascii="ＭＳ ゴシック" w:hAnsi="ＭＳ ゴシック" w:eastAsia="ＭＳ ゴシック"/>
          <w:b w:val="0"/>
          <w:sz w:val="28"/>
          <w:fitText w:val="3640" w:id="1"/>
        </w:rPr>
        <w:t>書</w:t>
      </w:r>
    </w:p>
    <w:p>
      <w:pPr>
        <w:pStyle w:val="0"/>
        <w:spacing w:line="340" w:lineRule="exact"/>
        <w:ind w:left="194" w:hanging="194" w:hangingChars="94"/>
        <w:jc w:val="both"/>
        <w:rPr>
          <w:rFonts w:hint="default" w:ascii="ＭＳ 明朝" w:hAnsi="ＭＳ 明朝" w:eastAsia="ＭＳ 明朝"/>
          <w:b w:val="1"/>
          <w:sz w:val="21"/>
        </w:rPr>
      </w:pP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要する</w:t>
      </w:r>
    </w:p>
    <w:p>
      <w:pPr>
        <w:pStyle w:val="0"/>
        <w:spacing w:line="360" w:lineRule="auto"/>
        <w:jc w:val="left"/>
        <w:rPr>
          <w:rFonts w:hint="eastAsia"/>
          <w:sz w:val="24"/>
        </w:rPr>
      </w:pPr>
      <w:r>
        <w:rPr>
          <w:rFonts w:hint="eastAsia"/>
          <w:sz w:val="24"/>
        </w:rPr>
        <w:t>８　廃棄物の処理及び清掃に関する法律施行令第６条の２第４号該当</w:t>
      </w: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茨城県土浦市大和町９－１</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w:t>
      </w:r>
    </w:p>
    <w:p>
      <w:pPr>
        <w:rPr>
          <w:rFonts w:hint="eastAsia"/>
        </w:rPr>
        <w:sectPr>
          <w:headerReference r:id="rId6" w:type="default"/>
          <w:footerReference r:id="rId7" w:type="even"/>
          <w:footerReference r:id="rId8" w:type="default"/>
          <w:headerReference r:id="rId5" w:type="first"/>
          <w:type w:val="nextColumn"/>
          <w:pgSz w:w="11905" w:h="16838"/>
          <w:pgMar w:top="1984" w:right="1446" w:bottom="1417" w:left="1457" w:header="454" w:footer="635" w:gutter="0"/>
          <w:cols w:space="720"/>
          <w:textDirection w:val="lrTb"/>
          <w:docGrid w:linePitch="258"/>
        </w:sectPr>
      </w:pPr>
    </w:p>
    <w:p>
      <w:pPr>
        <w:pStyle w:val="0"/>
        <w:spacing w:line="340" w:lineRule="exact"/>
        <w:ind w:left="194" w:hanging="194" w:hangingChars="94"/>
        <w:jc w:val="left"/>
        <w:rPr>
          <w:rFonts w:hint="default" w:ascii="ＭＳ 明朝" w:hAnsi="ＭＳ 明朝" w:eastAsia="ＭＳ 明朝"/>
          <w:b w:val="1"/>
          <w:sz w:val="21"/>
        </w:rPr>
      </w:pPr>
      <w:r>
        <w:rPr>
          <w:rFonts w:hint="eastAsia" w:ascii="ＭＳ 明朝" w:hAnsi="ＭＳ 明朝" w:eastAsia="ＭＳ 明朝"/>
          <w:b w:val="1"/>
          <w:sz w:val="21"/>
        </w:rPr>
        <w:t>産業廃棄物処理特約事項</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発注者（排出事業者）と受注者（処分業者）は、本契約の委託に関し、仕様書に示す発注者の事業場から排出される産業廃棄物の処分について次の事項について特約事項として締結する。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（受注者の事業範囲）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第１条　受注者の事業範囲は以下の通りである。受注者はこの事業範囲を証するものとして、許可証の写しを発注者に提出し、本契約書に添付するものとする。なお、許可事項に変更があったときは速やかにその旨を発注者に通知するともに、変更後の許可証の写しを発注者に提出し、本契約書に添付する。</w:t>
      </w:r>
    </w:p>
    <w:tbl>
      <w:tblPr>
        <w:tblStyle w:val="30"/>
        <w:tblW w:w="0" w:type="auto"/>
        <w:tblInd w:w="0" w:type="dxa"/>
        <w:tblLayout w:type="fixed"/>
        <w:tblLook w:firstRow="1" w:lastRow="0" w:firstColumn="1" w:lastColumn="0" w:noHBand="0" w:noVBand="1" w:val="04A0"/>
      </w:tblPr>
      <w:tblGrid>
        <w:gridCol w:w="3000"/>
        <w:gridCol w:w="5995"/>
      </w:tblGrid>
      <w:tr>
        <w:trPr>
          <w:trHeight w:val="530" w:hRule="atLeast"/>
        </w:trPr>
        <w:tc>
          <w:tcPr>
            <w:tcW w:w="3000" w:type="dxa"/>
            <w:vAlign w:val="center"/>
          </w:tcPr>
          <w:p>
            <w:pPr>
              <w:pStyle w:val="0"/>
              <w:jc w:val="both"/>
              <w:rPr>
                <w:rFonts w:hint="eastAsia"/>
              </w:rPr>
            </w:pPr>
            <w:r>
              <w:rPr>
                <w:rFonts w:hint="eastAsia"/>
              </w:rPr>
              <w:t>処分業許可番号及び</w:t>
            </w:r>
          </w:p>
          <w:p>
            <w:pPr>
              <w:pStyle w:val="0"/>
              <w:jc w:val="both"/>
              <w:rPr>
                <w:rFonts w:hint="eastAsia"/>
              </w:rPr>
            </w:pPr>
            <w:r>
              <w:rPr>
                <w:rFonts w:hint="eastAsia"/>
              </w:rPr>
              <w:t>許可都道府県等</w:t>
            </w:r>
          </w:p>
        </w:tc>
        <w:tc>
          <w:tcPr>
            <w:tcW w:w="5995" w:type="dxa"/>
            <w:vAlign w:val="top"/>
          </w:tcPr>
          <w:p>
            <w:pPr>
              <w:pStyle w:val="0"/>
              <w:rPr>
                <w:rFonts w:hint="eastAsia"/>
              </w:rPr>
            </w:pPr>
          </w:p>
        </w:tc>
      </w:tr>
      <w:tr>
        <w:trPr>
          <w:trHeight w:val="354" w:hRule="atLeast"/>
        </w:trPr>
        <w:tc>
          <w:tcPr>
            <w:tcW w:w="3000" w:type="dxa"/>
            <w:vAlign w:val="center"/>
          </w:tcPr>
          <w:p>
            <w:pPr>
              <w:pStyle w:val="0"/>
              <w:rPr>
                <w:rFonts w:hint="eastAsia"/>
              </w:rPr>
            </w:pPr>
            <w:r>
              <w:rPr>
                <w:rFonts w:hint="eastAsia"/>
              </w:rPr>
              <w:t>業の区分</w:t>
            </w:r>
          </w:p>
        </w:tc>
        <w:tc>
          <w:tcPr>
            <w:tcW w:w="5995" w:type="dxa"/>
            <w:vAlign w:val="top"/>
          </w:tcPr>
          <w:p>
            <w:pPr>
              <w:pStyle w:val="0"/>
              <w:rPr>
                <w:rFonts w:hint="eastAsia"/>
              </w:rPr>
            </w:pPr>
          </w:p>
        </w:tc>
      </w:tr>
      <w:tr>
        <w:trPr>
          <w:trHeight w:val="2120" w:hRule="atLeast"/>
        </w:trPr>
        <w:tc>
          <w:tcPr>
            <w:tcW w:w="3000" w:type="dxa"/>
            <w:vAlign w:val="center"/>
          </w:tcPr>
          <w:p>
            <w:pPr>
              <w:pStyle w:val="0"/>
              <w:jc w:val="both"/>
              <w:rPr>
                <w:rFonts w:hint="eastAsia"/>
              </w:rPr>
            </w:pPr>
            <w:r>
              <w:rPr>
                <w:rFonts w:hint="eastAsia"/>
              </w:rPr>
              <w:t>処分方法及び許可品目</w:t>
            </w:r>
          </w:p>
        </w:tc>
        <w:tc>
          <w:tcPr>
            <w:tcW w:w="5995"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（委託する産業廃棄物の種類及び数量）</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第２条　発注者が受注者に処分を委託する産業廃棄物の種類及び数量は次のとおりとする。</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（処分の場所、方法および処理能力）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第３条　受注者は、発注者から委託された前項の産業廃棄物を、次のとおり処分する。</w:t>
      </w:r>
    </w:p>
    <w:tbl>
      <w:tblPr>
        <w:tblStyle w:val="30"/>
        <w:tblW w:w="0" w:type="auto"/>
        <w:tblInd w:w="0" w:type="dxa"/>
        <w:tblLayout w:type="fixed"/>
        <w:tblLook w:firstRow="1" w:lastRow="0" w:firstColumn="1" w:lastColumn="0" w:noHBand="0" w:noVBand="1" w:val="04A0"/>
      </w:tblPr>
      <w:tblGrid>
        <w:gridCol w:w="2515"/>
        <w:gridCol w:w="6487"/>
      </w:tblGrid>
      <w:tr>
        <w:trPr/>
        <w:tc>
          <w:tcPr>
            <w:tcW w:w="2515" w:type="dxa"/>
            <w:vAlign w:val="center"/>
          </w:tcPr>
          <w:p>
            <w:pPr>
              <w:pStyle w:val="0"/>
              <w:jc w:val="both"/>
              <w:rPr>
                <w:rFonts w:hint="eastAsia"/>
              </w:rPr>
            </w:pPr>
            <w:r>
              <w:rPr>
                <w:rFonts w:hint="eastAsia"/>
              </w:rPr>
              <w:t>事業場の名称</w:t>
            </w:r>
          </w:p>
        </w:tc>
        <w:tc>
          <w:tcPr>
            <w:tcW w:w="6487" w:type="dxa"/>
            <w:vAlign w:val="top"/>
          </w:tcPr>
          <w:p>
            <w:pPr>
              <w:pStyle w:val="0"/>
              <w:rPr>
                <w:rFonts w:hint="eastAsia"/>
              </w:rPr>
            </w:pPr>
          </w:p>
        </w:tc>
      </w:tr>
      <w:tr>
        <w:trPr/>
        <w:tc>
          <w:tcPr>
            <w:tcW w:w="2515" w:type="dxa"/>
            <w:vAlign w:val="center"/>
          </w:tcPr>
          <w:p>
            <w:pPr>
              <w:pStyle w:val="0"/>
              <w:jc w:val="both"/>
              <w:rPr>
                <w:rFonts w:hint="eastAsia"/>
              </w:rPr>
            </w:pPr>
            <w:r>
              <w:rPr>
                <w:rFonts w:hint="eastAsia"/>
              </w:rPr>
              <w:t>所在地</w:t>
            </w:r>
          </w:p>
        </w:tc>
        <w:tc>
          <w:tcPr>
            <w:tcW w:w="6487" w:type="dxa"/>
            <w:vAlign w:val="top"/>
          </w:tcPr>
          <w:p>
            <w:pPr>
              <w:pStyle w:val="0"/>
              <w:rPr>
                <w:rFonts w:hint="eastAsia"/>
              </w:rPr>
            </w:pPr>
          </w:p>
        </w:tc>
      </w:tr>
      <w:tr>
        <w:trPr>
          <w:trHeight w:val="392" w:hRule="atLeast"/>
        </w:trPr>
        <w:tc>
          <w:tcPr>
            <w:tcW w:w="2515" w:type="dxa"/>
            <w:vAlign w:val="center"/>
          </w:tcPr>
          <w:p>
            <w:pPr>
              <w:pStyle w:val="0"/>
              <w:rPr>
                <w:rFonts w:hint="eastAsia"/>
              </w:rPr>
            </w:pPr>
            <w:r>
              <w:rPr>
                <w:rFonts w:hint="eastAsia"/>
              </w:rPr>
              <w:t>処分の方法</w:t>
            </w:r>
          </w:p>
        </w:tc>
        <w:tc>
          <w:tcPr>
            <w:tcW w:w="6487" w:type="dxa"/>
            <w:vAlign w:val="top"/>
          </w:tcPr>
          <w:p>
            <w:pPr>
              <w:pStyle w:val="0"/>
              <w:rPr>
                <w:rFonts w:hint="eastAsia"/>
              </w:rPr>
            </w:pPr>
          </w:p>
        </w:tc>
      </w:tr>
      <w:tr>
        <w:trPr>
          <w:trHeight w:val="320" w:hRule="atLeast"/>
        </w:trPr>
        <w:tc>
          <w:tcPr>
            <w:tcW w:w="2515" w:type="dxa"/>
            <w:vAlign w:val="center"/>
          </w:tcPr>
          <w:p>
            <w:pPr>
              <w:pStyle w:val="0"/>
              <w:rPr>
                <w:rFonts w:hint="eastAsia"/>
              </w:rPr>
            </w:pPr>
            <w:r>
              <w:rPr>
                <w:rFonts w:hint="eastAsia"/>
              </w:rPr>
              <w:t>施設の処理能力</w:t>
            </w:r>
          </w:p>
        </w:tc>
        <w:tc>
          <w:tcPr>
            <w:tcW w:w="6487"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（最終処分の場所、方法及び処理能力）</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第４条　受注者に委託された産業廃棄物の最終処分（予定）を次のとおりとする</w:t>
      </w:r>
    </w:p>
    <w:tbl>
      <w:tblPr>
        <w:tblStyle w:val="11"/>
        <w:tblW w:w="9006" w:type="dxa"/>
        <w:jc w:val="left"/>
        <w:tblInd w:w="-16" w:type="dxa"/>
        <w:tblLayout w:type="fixed"/>
        <w:tblCellMar>
          <w:top w:w="0" w:type="dxa"/>
          <w:left w:w="99" w:type="dxa"/>
          <w:bottom w:w="0" w:type="dxa"/>
          <w:right w:w="99" w:type="dxa"/>
        </w:tblCellMar>
        <w:tblLook w:firstRow="0" w:lastRow="0" w:firstColumn="0" w:lastColumn="0" w:noHBand="1" w:noVBand="1" w:val="0600"/>
      </w:tblPr>
      <w:tblGrid>
        <w:gridCol w:w="1801"/>
        <w:gridCol w:w="1801"/>
        <w:gridCol w:w="2402"/>
        <w:gridCol w:w="1241"/>
        <w:gridCol w:w="1761"/>
      </w:tblGrid>
      <w:tr>
        <w:trPr>
          <w:trHeight w:val="703" w:hRule="atLeas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最終処分先の番号</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事業場の名称</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所在地</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処分方法</w:t>
            </w: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施設の処理能力</w:t>
            </w:r>
          </w:p>
        </w:tc>
      </w:tr>
      <w:tr>
        <w:trPr>
          <w:trHeight w:val="449"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1"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（搬入業者）</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第５条　発注者は受注者に産業廃棄物を事業場へ搬入する業者を速やかに通知するものとする。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（適正処理に必要な情報）</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第６条　発注者は、産業廃棄物の適正な処理のために必要な以下の情報を、あらかじめ書面をもって受注者に提供しなければならない。以下の情報を具体化した「廃棄物データシート」（環境省の「廃棄物情報の提供に関するガイドライン」を参照）の項目を参考に書面の作成を行うものとす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ア　産業廃棄物の発生工程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イ　産業廃棄物の性状及び荷姿</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ウ　腐敗、揮発等性状の変化に関する事項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エ　混合等により生ずる支障</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オ　日本産業規格Ｃ</w:t>
      </w:r>
      <w:r>
        <w:rPr>
          <w:rFonts w:hint="eastAsia" w:ascii="ＭＳ 明朝" w:hAnsi="ＭＳ 明朝" w:eastAsia="ＭＳ 明朝"/>
          <w:b w:val="0"/>
          <w:sz w:val="21"/>
        </w:rPr>
        <w:t>0950</w:t>
      </w:r>
      <w:r>
        <w:rPr>
          <w:rFonts w:hint="eastAsia" w:ascii="ＭＳ 明朝" w:hAnsi="ＭＳ 明朝" w:eastAsia="ＭＳ 明朝"/>
          <w:b w:val="0"/>
          <w:sz w:val="21"/>
        </w:rPr>
        <w:t>号に規定する含有マークが付された廃製品の場合には、含有マーク表示に関する事項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カ　石綿含有産業廃棄物又は特定産業廃棄物、水銀使用製品産業廃棄物又は水銀含有ばいじん等が含まれる場合は、その事項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キ　その他取扱いの注意事項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２　発注者は、委託契約期間中、適正な処理及び事故防止並びに処理費用等の観点から、委託する産業廃棄物の性状等の変更があった場合は、受注者に対し速やかに書面をもってその変更の内容及び程度の情報を通知する。なお、受注者の業務及び処理方法に支障を生ずるおそれのある場合の性状等の変動幅は、製造工程又は産業廃棄物の発生工程の変更による性状の変更や腐敗等の変化、混入物の発生等の場合であり、発注者と受注者は通知する変動幅の範囲について、あらかじめ協議のうえ定めることとする。</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３　発注者は、委託する産業廃棄物の性状が書面の情報のとおりであることを確認し、受注者に引き渡す容器等に表示する（環境省の「廃棄物情報の提供に関するガイドライン」の「容器貼付用ラベル」参照）。</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発注者は、委託する産業廃棄物のマニフェストの記載事項を正確にもれなく記載し、虚偽又は記載漏れがある場合は、受注者は委託物の引き取りを一時停止しマニフェストの記載修正を発注者に求め、修正内容を確認の上、委託物を引き取ること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（責任範囲）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第７条　受注者は、発注者から委託された産業廃棄物を、処分の完了まで、法令に基づき適正に処理しなければならない。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２　受注者が、前項の業務の過程において法令に違反した業務を行い、又は過失によって発注者又は第三者に損害を及ぼしたときは、受注者においてその損害を賠償し、発注者に負担させない。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３　受注者が第１項の業務の過程において第三者に損害を及ぼした場合に、発注者の指図又は発注者の委託の仕方（発注者の委託した産業廃棄物の種類又は性状等による原因を含む。）に原因があるときは、発注者において賠償し、受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第１項の業務の過程において受注者に損害が発生した場合に、発注者の指図又は発注者の委託の仕方（発注者の委託した産業廃棄物の種類又は性状等による原因を含む。）に原因がある場合は、発注者が受注者にその損害を賠償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（再委託の禁止）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第８条　受注者は、発注者から委託された産業廃棄物の収集・運搬業務を他人に委託してはならない。ただし、発注者の書面による承諾を得て法令に定める再委託の基準に従う場合は、この限りではない。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（委託業務終了報告）</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第９条　受注者は発注者から委託された産業廃棄物の業務が終了した後、直ちに業務終了報告書を作成し、発注者に提出する。ただし、業務終了報告書は、処分業務については、マニフェストＤ票、又は電子マニフェストの運搬終了報告で代え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（業務の一時停止）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第１０条　受注者は、発注者から委託された産業廃棄物の適正処理を行うことが困難になり、又は困難となる恐れがある事由として、産業廃棄物の処理及び清掃に関する法律施行規則第１０条の６の２等に定める事由が生じたときは、直ちに当該委託に係る業務を一時停止し、同法第１４条第１３項等の規定に基づき、遅滞なくその旨を書面により発注者に通知し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２　発注者は、前項の通知を受けたときは、速やかに当該委託に係る産業廃棄物の処理の状況を把握する等、廃棄物の処理及び清掃に関する法律第１２条の３第８項に定める措置を講じるとともに、通知を発出した受注者が処理を適切に行えるようになるまでの間、受注者に新たな処理委託を行わない等の必要な措置を講じ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（契約を解除した場合の産業廃棄物の取り扱い）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第１１条　発注者又は受注者から本契約及び本特約条項を解除した場合に、本契約又は本特約条項に基づいて発注者から引き渡しを受けた産業廃棄物の処理が未だに完了していないものがあるときは、受注者又は発注者は、次の措置を講じ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（１）受注者の義務違反により発注者が解除した場合</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イ　受注者は、解除された後も、その産業廃棄物に対する本契約及び本特約条項に基づく受注者の業務を遂行する責任は免れないことを承知し、その残っている産業廃棄物についての処分の業務を自ら実行するか、又は発注者の承諾を得た上、許可を有する別の業者に自己の費用をもって行わせ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ロ　受注者が他の業者に委託する場合に、その業者に対する費用を支払う資金が受注者にないときには、受注者はその旨を発注者に通知し、資金のないことを明確にしなければならない。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ハ　上記ロの場合、発注者は、当該業者に対し、差し当たり、発注者の費用負担をもって、受注者のもとにある未処理の産業廃棄物の処分を行わしめるものとし、受注者に対して発注者が負担した費用を償還を請求することができ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（２）発注者の義務違反により受注者が解除した場合</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発注者の事業場に運搬した上、発注者に対し当該運搬の費用を請求す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（特約事項の優先的効力）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第１２条　この特約事項と本契約とで抵触する規定がある場合には、この特約事項の規定を優先的に適用するものとする。</w:t>
      </w:r>
    </w:p>
    <w:p>
      <w:pPr>
        <w:pStyle w:val="0"/>
        <w:spacing w:line="340" w:lineRule="exact"/>
        <w:ind w:left="194" w:hanging="194" w:hangingChars="94"/>
        <w:jc w:val="left"/>
        <w:rPr>
          <w:rFonts w:hint="eastAsia"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26" w:hanging="226" w:hangingChars="10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94" w:hanging="194" w:hangingChars="94"/>
        <w:jc w:val="left"/>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sectPr>
      <w:pgSz w:w="11905" w:h="16838"/>
      <w:pgMar w:top="964" w:right="1446" w:bottom="1191"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4"/>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22</w:t>
    </w:r>
    <w:r>
      <w:rPr>
        <w:rFonts w:hint="eastAsia"/>
      </w:rPr>
      <w:fldChar w:fldCharType="end"/>
    </w:r>
    <w:r>
      <w:rPr>
        <w:rStyle w:val="16"/>
        <w:rFonts w:hint="eastAsia"/>
      </w:rPr>
      <w:t>－</w:t>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4"/>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24</w:t>
    </w:r>
    <w:r>
      <w:rPr>
        <w:rFonts w:hint="eastAsia"/>
      </w:rPr>
      <w:fldChar w:fldCharType="end"/>
    </w:r>
    <w:r>
      <w:rPr>
        <w:rStyle w:val="16"/>
        <w:rFonts w:hint="eastAsia"/>
      </w:rPr>
      <w:t>－</w:t>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rPr>
        <w:rFonts w:hint="eastAsia"/>
      </w:rPr>
    </w:pPr>
    <w:r>
      <w:rPr>
        <w:rFonts w:hint="default"/>
      </w:rPr>
      <w:tab/>
    </w:r>
    <w:r>
      <w:rPr>
        <w:rFonts w:hint="default"/>
      </w:rPr>
      <w:tab/>
    </w:r>
    <w:r>
      <w:rPr>
        <w:rFonts w:hint="eastAsia"/>
      </w:rPr>
      <w:t>2023</w:t>
    </w:r>
    <w:r>
      <w:rPr>
        <w:rFonts w:hint="default"/>
      </w:rPr>
      <w:t>-04</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jc w:val="center"/>
      <w:rPr>
        <w:rFonts w:hint="default" w:ascii="ＭＳ 明朝" w:hAnsi="ＭＳ 明朝" w:eastAsia="ＭＳ 明朝"/>
      </w:rPr>
    </w:pPr>
    <w:r>
      <w:rPr>
        <w:rFonts w:hint="default"/>
      </w:rPr>
      <w:tab/>
    </w:r>
    <w:r>
      <w:rPr>
        <w:rFonts w:hint="default"/>
      </w:rPr>
      <w:tab/>
    </w:r>
    <w:r>
      <w:rPr>
        <w:rFonts w:hint="eastAsia" w:ascii="ＭＳ 明朝" w:hAnsi="ＭＳ 明朝" w:eastAsia="ＭＳ 明朝"/>
      </w:rPr>
      <w:t>産廃処分総価</w:t>
    </w:r>
    <w:r>
      <w:rPr>
        <w:rFonts w:hint="eastAsia" w:ascii="ＭＳ 明朝" w:hAnsi="ＭＳ 明朝" w:eastAsia="ＭＳ 明朝"/>
      </w:rPr>
      <w:t>500</w:t>
    </w:r>
    <w:r>
      <w:rPr>
        <w:rFonts w:hint="eastAsia" w:ascii="ＭＳ 明朝" w:hAnsi="ＭＳ 明朝" w:eastAsia="ＭＳ 明朝"/>
      </w:rPr>
      <w:t>以上</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emf" /><Relationship Id="rId10" Type="http://schemas.microsoft.com/office/2011/relationships/commentsExtended" Target="commentsExtended.xml" /><Relationship Id="rId11"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434D3844-4ACF-4B0D-8E34-FAB2F805DB1B}"/>
      </w:docPartPr>
      <w:docPartBody>
        <w:p>
          <w:pPr>
            <w:pStyle w:val="0"/>
            <w:rPr>
              <w:rStyle w:val="28"/>
              <w:rFonts w:hint="eastAsia"/>
            </w:rPr>
          </w:pPr>
          <w:r>
            <w:rPr>
              <w:rStyle w:val="28"/>
              <w:rFonts w:hint="eastAsia"/>
            </w:rPr>
            <w:t>アイテムを選択してください。</w:t>
          </w:r>
        </w:p>
      </w:docPartBody>
    </w:docPart>
    <w:docPart>
      <w:docPartPr>
        <w:name w:val="5EFE81DD536B41B29A64876AEFA63A93"/>
        <w:category>
          <w:name w:val="全般"/>
          <w:gallery w:val="placeholder"/>
        </w:category>
        <w:types>
          <w:type w:val="bbPlcHdr"/>
        </w:types>
        <w:behaviors>
          <w:behavior w:val="content"/>
        </w:behaviors>
        <w:guid w:val="{34150504-EAEA-434D-9393-71BE59B8C3E3}"/>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829</TotalTime>
  <Pages>27</Pages>
  <Words>34</Words>
  <Characters>28726</Characters>
  <Application>JUST Note</Application>
  <Lines>1071</Lines>
  <Paragraphs>445</Paragraphs>
  <CharactersWithSpaces>29485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2024-10-15T00:00:58Z</cp:lastPrinted>
  <dcterms:created xsi:type="dcterms:W3CDTF">2023-03-28T00:43:00Z</dcterms:created>
  <dcterms:modified xsi:type="dcterms:W3CDTF">2024-11-15T02:27:01Z</dcterms:modified>
  <cp:revision>9</cp:revision>
</cp:coreProperties>
</file>