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4950460</wp:posOffset>
            </wp:positionH>
            <wp:positionV relativeFrom="paragraph">
              <wp:posOffset>-193040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（産業廃棄物収収集運搬処分用）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24"/>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spacing w:line="340" w:lineRule="exact"/>
        <w:ind w:left="194" w:hanging="194" w:hangingChars="94"/>
        <w:rPr>
          <w:rFonts w:hint="default" w:ascii="ＭＳ 明朝" w:hAnsi="ＭＳ 明朝" w:eastAsia="ＭＳ 明朝"/>
          <w:b w:val="1"/>
        </w:rPr>
      </w:pPr>
      <w:r>
        <w:rPr>
          <w:rFonts w:hint="eastAsia"/>
        </w:rPr>
        <w:br w:type="page"/>
      </w:r>
    </w:p>
    <w:p>
      <w:pPr>
        <w:rPr>
          <w:rFonts w:hint="eastAsia"/>
        </w:rPr>
        <w:sectPr>
          <w:headerReference r:id="rId6" w:type="default"/>
          <w:footerReference r:id="rId7" w:type="even"/>
          <w:footerReference r:id="rId8" w:type="default"/>
          <w:headerReference r:id="rId5" w:type="first"/>
          <w:type w:val="nextColumn"/>
          <w:pgSz w:w="11905" w:h="16838"/>
          <w:pgMar w:top="1984" w:right="1417" w:bottom="1417" w:left="1417" w:header="454" w:footer="635" w:gutter="0"/>
          <w:cols w:space="720"/>
          <w:textDirection w:val="lrTb"/>
          <w:docGrid w:linePitch="258"/>
        </w:sectPr>
      </w:pP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処分業者）は、本契約の委託に関し、仕様書に示す発注者の事業場から排出される産業廃棄物の収集運搬及び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【収集運搬業】</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【処分業】</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発注者が受注者に収集・運搬及び処分を委託する産業廃棄物の種類及び数量は次のとおりとする。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及び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及び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rPr>
      </w:pP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spacing w:line="340" w:lineRule="exact"/>
        <w:jc w:val="right"/>
        <w:rPr>
          <w:rFonts w:hint="default" w:ascii="ＭＳ 明朝" w:hAnsi="ＭＳ 明朝" w:eastAsia="ＭＳ 明朝"/>
          <w:bdr w:val="single" w:color="auto" w:sz="4" w:space="0"/>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p>
      <w:pPr>
        <w:pStyle w:val="0"/>
        <w:spacing w:line="340" w:lineRule="exact"/>
        <w:ind w:left="194" w:hanging="194" w:hangingChars="94"/>
        <w:jc w:val="left"/>
        <w:rPr>
          <w:rFonts w:hint="eastAsia" w:ascii="ＭＳ 明朝" w:hAnsi="ＭＳ 明朝" w:eastAsia="ＭＳ 明朝"/>
        </w:rPr>
      </w:pPr>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24</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産廃運搬処分総価</w:t>
    </w:r>
    <w:r>
      <w:rPr>
        <w:rFonts w:hint="eastAsia" w:ascii="ＭＳ 明朝" w:hAnsi="ＭＳ 明朝" w:eastAsia="ＭＳ 明朝"/>
      </w:rPr>
      <w:t>500</w:t>
    </w:r>
    <w:r>
      <w:rPr>
        <w:rFonts w:hint="eastAsia" w:ascii="ＭＳ 明朝" w:hAnsi="ＭＳ 明朝" w:eastAsia="ＭＳ 明朝"/>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27</Pages>
  <Words>34</Words>
  <Characters>28845</Characters>
  <Application>JUST Note</Application>
  <Lines>1099</Lines>
  <Paragraphs>454</Paragraphs>
  <CharactersWithSpaces>29604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2024-11-15T02:28:46Z</dcterms:modified>
  <cp:revision>12</cp:revision>
</cp:coreProperties>
</file>