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eastAsia" w:ascii="BIZ UDPゴシック" w:hAnsi="BIZ UDPゴシック" w:eastAsia="BIZ UDPゴシック"/>
          <w:sz w:val="22"/>
        </w:rPr>
      </w:pPr>
      <w:r>
        <w:rPr>
          <w:rFonts w:hint="eastAsia" w:ascii="BIZ UDPゴシック" w:hAnsi="BIZ UDPゴシック" w:eastAsia="BIZ UDPゴシック"/>
          <w:sz w:val="22"/>
        </w:rPr>
        <w:t>土浦市デジタルサイネージチェックリスト</w:t>
      </w:r>
    </w:p>
    <w:p>
      <w:pPr>
        <w:pStyle w:val="0"/>
        <w:numPr>
          <w:numId w:val="0"/>
        </w:numPr>
        <w:ind w:left="0" w:leftChars="0" w:firstLineChars="0"/>
        <w:rPr>
          <w:rFonts w:hint="eastAsia" w:ascii="BIZ UDPゴシック" w:hAnsi="BIZ UDPゴシック" w:eastAsia="BIZ UDPゴシック"/>
          <w:sz w:val="22"/>
        </w:rPr>
      </w:pPr>
    </w:p>
    <w:p>
      <w:pPr>
        <w:pStyle w:val="0"/>
        <w:numPr>
          <w:ilvl w:val="0"/>
          <w:numId w:val="1"/>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b w:val="0"/>
          <w:sz w:val="22"/>
        </w:rPr>
        <w:t>次の表に定める地区毎の指針を順守すること。</w:t>
      </w:r>
    </w:p>
    <w:tbl>
      <w:tblPr>
        <w:tblStyle w:val="11"/>
        <w:tblW w:w="8323"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0" w:type="dxa"/>
          <w:bottom w:w="0" w:type="dxa"/>
          <w:right w:w="0" w:type="dxa"/>
        </w:tblCellMar>
        <w:tblLook w:firstRow="1" w:lastRow="0" w:firstColumn="1" w:lastColumn="0" w:noHBand="0" w:noVBand="1" w:val="04A0"/>
      </w:tblPr>
      <w:tblGrid>
        <w:gridCol w:w="403"/>
        <w:gridCol w:w="1130"/>
        <w:gridCol w:w="1670"/>
        <w:gridCol w:w="1669"/>
        <w:gridCol w:w="1725"/>
        <w:gridCol w:w="1726"/>
      </w:tblGrid>
      <w:tr>
        <w:trPr>
          <w:trHeight w:val="340" w:hRule="atLeast"/>
        </w:trPr>
        <w:tc>
          <w:tcPr>
            <w:tcW w:w="4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6" w:type="dxa"/>
              <w:bottom w:w="56" w:type="dxa"/>
              <w:right w:w="78" w:type="dxa"/>
            </w:tcMar>
            <w:vAlign w:val="center"/>
          </w:tcPr>
          <w:p>
            <w:pPr>
              <w:pStyle w:val="22"/>
              <w:jc w:val="center"/>
              <w:rPr>
                <w:rFonts w:hint="eastAsia"/>
                <w:color w:val="000000" w:themeColor="text1"/>
                <w:sz w:val="20"/>
              </w:rPr>
            </w:pPr>
          </w:p>
        </w:tc>
        <w:tc>
          <w:tcPr>
            <w:tcW w:w="13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78" w:type="dxa"/>
              <w:bottom w:w="56" w:type="dxa"/>
              <w:right w:w="78" w:type="dxa"/>
            </w:tcMar>
            <w:vAlign w:val="center"/>
          </w:tcPr>
          <w:p>
            <w:pPr>
              <w:pStyle w:val="22"/>
              <w:jc w:val="center"/>
              <w:rPr>
                <w:rFonts w:hint="eastAsia"/>
                <w:b w:val="1"/>
                <w:color w:val="000000" w:themeColor="text1"/>
                <w:sz w:val="20"/>
              </w:rPr>
            </w:pP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jc w:val="center"/>
              <w:rPr>
                <w:rFonts w:hint="eastAsia"/>
                <w:b w:val="0"/>
                <w:sz w:val="20"/>
              </w:rPr>
            </w:pPr>
            <w:r>
              <w:rPr>
                <w:rFonts w:hint="eastAsia" w:ascii="BIZ UDPゴシック" w:hAnsi="BIZ UDPゴシック" w:eastAsia="BIZ UDPゴシック"/>
                <w:b w:val="0"/>
                <w:color w:val="000000"/>
                <w:sz w:val="21"/>
              </w:rPr>
              <w:t>□　</w:t>
            </w:r>
            <w:r>
              <w:rPr>
                <w:rFonts w:hint="eastAsia" w:ascii="BIZ UDPゴシック" w:hAnsi="BIZ UDPゴシック" w:eastAsia="BIZ UDPゴシック"/>
                <w:b w:val="0"/>
                <w:color w:val="000000"/>
                <w:sz w:val="21"/>
              </w:rPr>
              <w:t>A</w:t>
            </w:r>
            <w:r>
              <w:rPr>
                <w:rFonts w:hint="eastAsia" w:ascii="BIZ UDPゴシック" w:hAnsi="BIZ UDPゴシック" w:eastAsia="BIZ UDPゴシック"/>
                <w:b w:val="0"/>
                <w:color w:val="000000"/>
                <w:sz w:val="21"/>
              </w:rPr>
              <w:t>地区</w:t>
            </w:r>
          </w:p>
        </w:tc>
        <w:tc>
          <w:tcPr>
            <w:tcW w:w="20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jc w:val="center"/>
              <w:rPr>
                <w:rFonts w:hint="eastAsia"/>
                <w:b w:val="0"/>
                <w:sz w:val="20"/>
              </w:rPr>
            </w:pPr>
            <w:r>
              <w:rPr>
                <w:rFonts w:hint="eastAsia" w:ascii="BIZ UDPゴシック" w:hAnsi="BIZ UDPゴシック" w:eastAsia="BIZ UDPゴシック"/>
                <w:b w:val="0"/>
                <w:color w:val="000000"/>
                <w:sz w:val="21"/>
              </w:rPr>
              <w:t>□　</w:t>
            </w:r>
            <w:r>
              <w:rPr>
                <w:rFonts w:hint="eastAsia" w:ascii="BIZ UDPゴシック" w:hAnsi="BIZ UDPゴシック" w:eastAsia="BIZ UDPゴシック"/>
                <w:b w:val="0"/>
                <w:color w:val="000000"/>
                <w:sz w:val="21"/>
              </w:rPr>
              <w:t>B</w:t>
            </w:r>
            <w:r>
              <w:rPr>
                <w:rFonts w:hint="eastAsia" w:ascii="BIZ UDPゴシック" w:hAnsi="BIZ UDPゴシック" w:eastAsia="BIZ UDPゴシック"/>
                <w:b w:val="0"/>
                <w:color w:val="000000"/>
                <w:sz w:val="21"/>
              </w:rPr>
              <w:t>地区</w:t>
            </w:r>
          </w:p>
        </w:tc>
        <w:tc>
          <w:tcPr>
            <w:tcW w:w="2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jc w:val="center"/>
              <w:rPr>
                <w:rFonts w:hint="eastAsia"/>
                <w:b w:val="0"/>
                <w:sz w:val="20"/>
              </w:rPr>
            </w:pPr>
            <w:r>
              <w:rPr>
                <w:rFonts w:hint="eastAsia" w:ascii="BIZ UDPゴシック" w:hAnsi="BIZ UDPゴシック" w:eastAsia="BIZ UDPゴシック"/>
                <w:b w:val="0"/>
                <w:color w:val="000000"/>
                <w:sz w:val="21"/>
              </w:rPr>
              <w:t>□　</w:t>
            </w:r>
            <w:r>
              <w:rPr>
                <w:rFonts w:hint="eastAsia" w:ascii="BIZ UDPゴシック" w:hAnsi="BIZ UDPゴシック" w:eastAsia="BIZ UDPゴシック"/>
                <w:b w:val="0"/>
                <w:color w:val="000000"/>
                <w:sz w:val="21"/>
              </w:rPr>
              <w:t>C</w:t>
            </w:r>
            <w:r>
              <w:rPr>
                <w:rFonts w:hint="eastAsia" w:ascii="BIZ UDPゴシック" w:hAnsi="BIZ UDPゴシック" w:eastAsia="BIZ UDPゴシック"/>
                <w:b w:val="0"/>
                <w:color w:val="000000"/>
                <w:sz w:val="21"/>
              </w:rPr>
              <w:t>地区</w:t>
            </w:r>
          </w:p>
        </w:tc>
        <w:tc>
          <w:tcPr>
            <w:tcW w:w="2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0"/>
              <w:ind w:firstLineChars="0"/>
              <w:jc w:val="center"/>
              <w:rPr>
                <w:rFonts w:hint="eastAsia"/>
                <w:b w:val="0"/>
                <w:sz w:val="20"/>
              </w:rPr>
            </w:pPr>
            <w:r>
              <w:rPr>
                <w:rFonts w:hint="eastAsia" w:ascii="BIZ UDPゴシック" w:hAnsi="BIZ UDPゴシック" w:eastAsia="BIZ UDPゴシック"/>
                <w:b w:val="0"/>
                <w:color w:val="000000"/>
                <w:sz w:val="21"/>
              </w:rPr>
              <w:t>記載欄</w:t>
            </w:r>
          </w:p>
        </w:tc>
      </w:tr>
      <w:tr>
        <w:trPr>
          <w:trHeight w:val="624" w:hRule="atLeast"/>
        </w:trPr>
        <w:tc>
          <w:tcPr>
            <w:tcW w:w="44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6" w:type="dxa"/>
              <w:bottom w:w="56" w:type="dxa"/>
              <w:right w:w="78" w:type="dxa"/>
            </w:tcMar>
            <w:vAlign w:val="center"/>
          </w:tcPr>
          <w:p>
            <w:pPr>
              <w:pStyle w:val="22"/>
              <w:rPr>
                <w:rFonts w:hint="default" w:ascii="游ゴシック" w:hAnsi="游ゴシック" w:eastAsia="游ゴシック"/>
                <w:b w:val="0"/>
                <w:color w:val="000000" w:themeColor="text1"/>
                <w:sz w:val="32"/>
              </w:rPr>
            </w:pPr>
            <w:r>
              <w:rPr>
                <w:rFonts w:hint="default" w:ascii="BIZ UDPゴシック" w:hAnsi="BIZ UDPゴシック" w:eastAsia="BIZ UDPゴシック"/>
                <w:b w:val="0"/>
                <w:color w:val="000000" w:themeColor="text1"/>
                <w:sz w:val="20"/>
              </w:rPr>
              <w:t>光</w:t>
            </w:r>
          </w:p>
        </w:tc>
        <w:tc>
          <w:tcPr>
            <w:tcW w:w="13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78" w:type="dxa"/>
              <w:bottom w:w="56" w:type="dxa"/>
              <w:right w:w="78" w:type="dxa"/>
            </w:tcMar>
            <w:vAlign w:val="center"/>
          </w:tcPr>
          <w:p>
            <w:pPr>
              <w:pStyle w:val="22"/>
              <w:rPr>
                <w:rFonts w:hint="default" w:ascii="游ゴシック" w:hAnsi="游ゴシック" w:eastAsia="游ゴシック"/>
                <w:b w:val="0"/>
                <w:color w:val="000000" w:themeColor="text1"/>
                <w:sz w:val="32"/>
              </w:rPr>
            </w:pPr>
            <w:r>
              <w:rPr>
                <w:rFonts w:hint="default" w:ascii="BIZ UDPゴシック" w:hAnsi="BIZ UDPゴシック" w:eastAsia="BIZ UDPゴシック"/>
                <w:b w:val="0"/>
                <w:color w:val="000000" w:themeColor="text1"/>
                <w:sz w:val="21"/>
              </w:rPr>
              <w:t>昼間</w:t>
            </w:r>
          </w:p>
          <w:p>
            <w:pPr>
              <w:pStyle w:val="22"/>
              <w:rPr>
                <w:rFonts w:hint="default" w:ascii="游ゴシック" w:hAnsi="游ゴシック" w:eastAsia="游ゴシック"/>
                <w:b w:val="0"/>
                <w:color w:val="000000" w:themeColor="text1"/>
                <w:sz w:val="32"/>
              </w:rPr>
            </w:pPr>
            <w:r>
              <w:rPr>
                <w:rFonts w:hint="default" w:ascii="BIZ UDPゴシック" w:hAnsi="BIZ UDPゴシック" w:eastAsia="BIZ UDPゴシック"/>
                <w:b w:val="0"/>
                <w:color w:val="000000" w:themeColor="text1"/>
                <w:sz w:val="12"/>
              </w:rPr>
              <w:t>(</w:t>
            </w:r>
            <w:r>
              <w:rPr>
                <w:rFonts w:hint="default" w:ascii="BIZ UDPゴシック" w:hAnsi="BIZ UDPゴシック" w:eastAsia="BIZ UDPゴシック"/>
                <w:b w:val="0"/>
                <w:color w:val="000000" w:themeColor="text1"/>
                <w:sz w:val="12"/>
              </w:rPr>
              <w:t>日の出～日の入</w:t>
            </w:r>
            <w:r>
              <w:rPr>
                <w:rFonts w:hint="default" w:ascii="BIZ UDPゴシック" w:hAnsi="BIZ UDPゴシック" w:eastAsia="BIZ UDPゴシック"/>
                <w:b w:val="0"/>
                <w:color w:val="000000" w:themeColor="text1"/>
                <w:sz w:val="12"/>
              </w:rPr>
              <w:t>)</w:t>
            </w: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3,000</w:t>
            </w:r>
          </w:p>
          <w:p>
            <w:pPr>
              <w:pStyle w:val="22"/>
              <w:rPr>
                <w:rFonts w:hint="default" w:ascii="游ゴシック" w:hAnsi="游ゴシック" w:eastAsia="游ゴシック"/>
                <w:sz w:val="32"/>
              </w:rPr>
            </w:pPr>
            <w:r>
              <w:rPr>
                <w:rFonts w:hint="default" w:ascii="BIZ UDPゴシック" w:hAnsi="BIZ UDPゴシック" w:eastAsia="BIZ UDPゴシック"/>
                <w:color w:val="000000"/>
                <w:sz w:val="14"/>
              </w:rPr>
              <w:t>cd/</w:t>
            </w:r>
            <w:r>
              <w:rPr>
                <w:rFonts w:hint="default" w:ascii="BIZ UDPゴシック" w:hAnsi="BIZ UDPゴシック" w:eastAsia="BIZ UDPゴシック"/>
                <w:color w:val="000000"/>
                <w:sz w:val="14"/>
              </w:rPr>
              <w:t>㎡以下</w:t>
            </w:r>
          </w:p>
        </w:tc>
        <w:tc>
          <w:tcPr>
            <w:tcW w:w="20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3,000</w:t>
            </w:r>
          </w:p>
          <w:p>
            <w:pPr>
              <w:pStyle w:val="22"/>
              <w:rPr>
                <w:rFonts w:hint="default" w:ascii="游ゴシック" w:hAnsi="游ゴシック" w:eastAsia="游ゴシック"/>
                <w:sz w:val="32"/>
              </w:rPr>
            </w:pPr>
            <w:r>
              <w:rPr>
                <w:rFonts w:hint="default" w:ascii="BIZ UDPゴシック" w:hAnsi="BIZ UDPゴシック" w:eastAsia="BIZ UDPゴシック"/>
                <w:color w:val="000000"/>
                <w:sz w:val="14"/>
              </w:rPr>
              <w:t>cd/</w:t>
            </w:r>
            <w:r>
              <w:rPr>
                <w:rFonts w:hint="default" w:ascii="BIZ UDPゴシック" w:hAnsi="BIZ UDPゴシック" w:eastAsia="BIZ UDPゴシック"/>
                <w:color w:val="000000"/>
                <w:sz w:val="14"/>
              </w:rPr>
              <w:t>㎡以下</w:t>
            </w:r>
          </w:p>
        </w:tc>
        <w:tc>
          <w:tcPr>
            <w:tcW w:w="2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3,000</w:t>
            </w:r>
          </w:p>
          <w:p>
            <w:pPr>
              <w:pStyle w:val="22"/>
              <w:rPr>
                <w:rFonts w:hint="default" w:ascii="游ゴシック" w:hAnsi="游ゴシック" w:eastAsia="游ゴシック"/>
                <w:sz w:val="32"/>
              </w:rPr>
            </w:pPr>
            <w:r>
              <w:rPr>
                <w:rFonts w:hint="default" w:ascii="BIZ UDPゴシック" w:hAnsi="BIZ UDPゴシック" w:eastAsia="BIZ UDPゴシック"/>
                <w:color w:val="000000"/>
                <w:sz w:val="14"/>
              </w:rPr>
              <w:t>cd/</w:t>
            </w:r>
            <w:r>
              <w:rPr>
                <w:rFonts w:hint="default" w:ascii="BIZ UDPゴシック" w:hAnsi="BIZ UDPゴシック" w:eastAsia="BIZ UDPゴシック"/>
                <w:color w:val="000000"/>
                <w:sz w:val="14"/>
              </w:rPr>
              <w:t>㎡以下</w:t>
            </w:r>
            <w:bookmarkStart w:id="0" w:name="_GoBack"/>
            <w:bookmarkEnd w:id="0"/>
          </w:p>
        </w:tc>
        <w:tc>
          <w:tcPr>
            <w:tcW w:w="2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top w:w="56" w:type="dxa"/>
              <w:left w:w="118" w:type="dxa"/>
              <w:bottom w:w="56" w:type="dxa"/>
              <w:right w:w="118" w:type="dxa"/>
            </w:tcMar>
            <w:vAlign w:val="center"/>
          </w:tcPr>
          <w:p>
            <w:pPr>
              <w:pStyle w:val="0"/>
              <w:jc w:val="right"/>
              <w:rPr>
                <w:rFonts w:hint="eastAsia"/>
                <w:sz w:val="20"/>
              </w:rPr>
            </w:pPr>
            <w:r>
              <w:rPr>
                <w:rFonts w:hint="default" w:ascii="BIZ UDPゴシック" w:hAnsi="BIZ UDPゴシック" w:eastAsia="BIZ UDPゴシック"/>
                <w:color w:val="000000"/>
                <w:sz w:val="14"/>
              </w:rPr>
              <w:t>cd/</w:t>
            </w:r>
            <w:r>
              <w:rPr>
                <w:rFonts w:hint="default" w:ascii="BIZ UDPゴシック" w:hAnsi="BIZ UDPゴシック" w:eastAsia="BIZ UDPゴシック"/>
                <w:color w:val="000000"/>
                <w:sz w:val="14"/>
              </w:rPr>
              <w:t>㎡</w:t>
            </w:r>
          </w:p>
        </w:tc>
      </w:tr>
      <w:tr>
        <w:trPr>
          <w:trHeight w:val="680" w:hRule="atLeast"/>
        </w:trPr>
        <w:tc>
          <w:tcPr>
            <w:tcW w:w="4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ascii="BIZ UDPゴシック" w:hAnsi="BIZ UDPゴシック" w:eastAsia="BIZ UDPゴシック"/>
                <w:b w:val="0"/>
                <w:i w:val="0"/>
                <w:smallCaps w:val="0"/>
                <w:color w:val="000000"/>
                <w:sz w:val="22"/>
              </w:rPr>
            </w:pPr>
          </w:p>
        </w:tc>
        <w:tc>
          <w:tcPr>
            <w:tcW w:w="13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78" w:type="dxa"/>
              <w:bottom w:w="56" w:type="dxa"/>
              <w:right w:w="78" w:type="dxa"/>
            </w:tcMar>
            <w:vAlign w:val="center"/>
          </w:tcPr>
          <w:p>
            <w:pPr>
              <w:pStyle w:val="22"/>
              <w:rPr>
                <w:rFonts w:hint="default" w:ascii="游ゴシック" w:hAnsi="游ゴシック" w:eastAsia="游ゴシック"/>
                <w:b w:val="0"/>
                <w:color w:val="000000" w:themeColor="text1"/>
                <w:sz w:val="32"/>
              </w:rPr>
            </w:pPr>
            <w:r>
              <w:rPr>
                <w:rFonts w:hint="default" w:ascii="BIZ UDPゴシック" w:hAnsi="BIZ UDPゴシック" w:eastAsia="BIZ UDPゴシック"/>
                <w:b w:val="0"/>
                <w:color w:val="000000" w:themeColor="text1"/>
                <w:sz w:val="21"/>
              </w:rPr>
              <w:t>夜間</w:t>
            </w:r>
            <w:r>
              <w:rPr>
                <w:rFonts w:hint="default" w:ascii="BIZ UDPゴシック" w:hAnsi="BIZ UDPゴシック" w:eastAsia="BIZ UDPゴシック"/>
                <w:b w:val="0"/>
                <w:color w:val="000000" w:themeColor="text1"/>
                <w:sz w:val="21"/>
              </w:rPr>
              <w:br w:type="textWrapping" w:clear="none"/>
            </w:r>
            <w:r>
              <w:rPr>
                <w:rFonts w:hint="default" w:ascii="BIZ UDPゴシック" w:hAnsi="BIZ UDPゴシック" w:eastAsia="BIZ UDPゴシック"/>
                <w:b w:val="0"/>
                <w:color w:val="000000" w:themeColor="text1"/>
                <w:sz w:val="12"/>
              </w:rPr>
              <w:t>(</w:t>
            </w:r>
            <w:r>
              <w:rPr>
                <w:rFonts w:hint="default" w:ascii="BIZ UDPゴシック" w:hAnsi="BIZ UDPゴシック" w:eastAsia="BIZ UDPゴシック"/>
                <w:b w:val="0"/>
                <w:color w:val="000000" w:themeColor="text1"/>
                <w:sz w:val="12"/>
              </w:rPr>
              <w:t>日の入～</w:t>
            </w:r>
            <w:r>
              <w:rPr>
                <w:rFonts w:hint="default" w:ascii="BIZ UDPゴシック" w:hAnsi="BIZ UDPゴシック" w:eastAsia="BIZ UDPゴシック"/>
                <w:b w:val="0"/>
                <w:color w:val="000000" w:themeColor="text1"/>
                <w:sz w:val="12"/>
              </w:rPr>
              <w:t>0</w:t>
            </w:r>
            <w:r>
              <w:rPr>
                <w:rFonts w:hint="default" w:ascii="BIZ UDPゴシック" w:hAnsi="BIZ UDPゴシック" w:eastAsia="BIZ UDPゴシック"/>
                <w:b w:val="0"/>
                <w:color w:val="000000" w:themeColor="text1"/>
                <w:sz w:val="12"/>
              </w:rPr>
              <w:t>時</w:t>
            </w:r>
            <w:r>
              <w:rPr>
                <w:rFonts w:hint="default" w:ascii="BIZ UDPゴシック" w:hAnsi="BIZ UDPゴシック" w:eastAsia="BIZ UDPゴシック"/>
                <w:b w:val="0"/>
                <w:color w:val="000000" w:themeColor="text1"/>
                <w:sz w:val="12"/>
              </w:rPr>
              <w:t>)</w:t>
            </w: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400(1,000)</w:t>
            </w:r>
          </w:p>
          <w:p>
            <w:pPr>
              <w:pStyle w:val="22"/>
              <w:rPr>
                <w:rFonts w:hint="default" w:ascii="游ゴシック" w:hAnsi="游ゴシック" w:eastAsia="游ゴシック"/>
                <w:sz w:val="32"/>
              </w:rPr>
            </w:pPr>
            <w:r>
              <w:rPr>
                <w:rFonts w:hint="default" w:ascii="BIZ UDPゴシック" w:hAnsi="BIZ UDPゴシック" w:eastAsia="BIZ UDPゴシック"/>
                <w:color w:val="000000"/>
                <w:sz w:val="14"/>
              </w:rPr>
              <w:t>cd/</w:t>
            </w:r>
            <w:r>
              <w:rPr>
                <w:rFonts w:hint="default" w:ascii="BIZ UDPゴシック" w:hAnsi="BIZ UDPゴシック" w:eastAsia="BIZ UDPゴシック"/>
                <w:color w:val="000000"/>
                <w:sz w:val="14"/>
              </w:rPr>
              <w:t>㎡以下</w:t>
            </w:r>
            <w:r>
              <w:rPr>
                <w:rFonts w:hint="default" w:ascii="BIZ UDPゴシック" w:hAnsi="BIZ UDPゴシック" w:eastAsia="BIZ UDPゴシック"/>
                <w:color w:val="000000"/>
                <w:sz w:val="14"/>
              </w:rPr>
              <w:t>※</w:t>
            </w:r>
          </w:p>
        </w:tc>
        <w:tc>
          <w:tcPr>
            <w:tcW w:w="20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400(800)</w:t>
            </w:r>
          </w:p>
          <w:p>
            <w:pPr>
              <w:pStyle w:val="22"/>
              <w:rPr>
                <w:rFonts w:hint="default" w:ascii="游ゴシック" w:hAnsi="游ゴシック" w:eastAsia="游ゴシック"/>
                <w:sz w:val="32"/>
              </w:rPr>
            </w:pPr>
            <w:r>
              <w:rPr>
                <w:rFonts w:hint="default" w:ascii="BIZ UDPゴシック" w:hAnsi="BIZ UDPゴシック" w:eastAsia="BIZ UDPゴシック"/>
                <w:color w:val="000000"/>
                <w:sz w:val="14"/>
              </w:rPr>
              <w:t>cd/</w:t>
            </w:r>
            <w:r>
              <w:rPr>
                <w:rFonts w:hint="default" w:ascii="BIZ UDPゴシック" w:hAnsi="BIZ UDPゴシック" w:eastAsia="BIZ UDPゴシック"/>
                <w:color w:val="000000"/>
                <w:sz w:val="14"/>
              </w:rPr>
              <w:t>㎡以下</w:t>
            </w:r>
            <w:r>
              <w:rPr>
                <w:rFonts w:hint="default" w:ascii="BIZ UDPゴシック" w:hAnsi="BIZ UDPゴシック" w:eastAsia="BIZ UDPゴシック"/>
                <w:color w:val="000000"/>
                <w:sz w:val="14"/>
              </w:rPr>
              <w:t>※</w:t>
            </w:r>
          </w:p>
        </w:tc>
        <w:tc>
          <w:tcPr>
            <w:tcW w:w="2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400</w:t>
            </w:r>
          </w:p>
          <w:p>
            <w:pPr>
              <w:pStyle w:val="22"/>
              <w:rPr>
                <w:rFonts w:hint="default" w:ascii="游ゴシック" w:hAnsi="游ゴシック" w:eastAsia="游ゴシック"/>
                <w:sz w:val="32"/>
              </w:rPr>
            </w:pPr>
            <w:r>
              <w:rPr>
                <w:rFonts w:hint="default" w:ascii="BIZ UDPゴシック" w:hAnsi="BIZ UDPゴシック" w:eastAsia="BIZ UDPゴシック"/>
                <w:color w:val="000000"/>
                <w:sz w:val="14"/>
              </w:rPr>
              <w:t>cd/</w:t>
            </w:r>
            <w:r>
              <w:rPr>
                <w:rFonts w:hint="default" w:ascii="BIZ UDPゴシック" w:hAnsi="BIZ UDPゴシック" w:eastAsia="BIZ UDPゴシック"/>
                <w:color w:val="000000"/>
                <w:sz w:val="14"/>
              </w:rPr>
              <w:t>㎡以下</w:t>
            </w:r>
          </w:p>
        </w:tc>
        <w:tc>
          <w:tcPr>
            <w:tcW w:w="2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top w:w="56" w:type="dxa"/>
              <w:left w:w="118" w:type="dxa"/>
              <w:bottom w:w="56" w:type="dxa"/>
              <w:right w:w="118" w:type="dxa"/>
            </w:tcMar>
            <w:vAlign w:val="center"/>
          </w:tcPr>
          <w:p>
            <w:pPr>
              <w:pStyle w:val="0"/>
              <w:jc w:val="right"/>
              <w:rPr>
                <w:rFonts w:hint="eastAsia"/>
                <w:sz w:val="20"/>
              </w:rPr>
            </w:pPr>
            <w:r>
              <w:rPr>
                <w:rFonts w:hint="default" w:ascii="BIZ UDPゴシック" w:hAnsi="BIZ UDPゴシック" w:eastAsia="BIZ UDPゴシック"/>
                <w:color w:val="000000"/>
                <w:sz w:val="14"/>
              </w:rPr>
              <w:t>cd/</w:t>
            </w:r>
            <w:r>
              <w:rPr>
                <w:rFonts w:hint="default" w:ascii="BIZ UDPゴシック" w:hAnsi="BIZ UDPゴシック" w:eastAsia="BIZ UDPゴシック"/>
                <w:color w:val="000000"/>
                <w:sz w:val="14"/>
              </w:rPr>
              <w:t>㎡</w:t>
            </w:r>
          </w:p>
        </w:tc>
      </w:tr>
      <w:tr>
        <w:trPr>
          <w:trHeight w:val="680" w:hRule="atLeast"/>
        </w:trPr>
        <w:tc>
          <w:tcPr>
            <w:tcW w:w="4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ascii="BIZ UDPゴシック" w:hAnsi="BIZ UDPゴシック" w:eastAsia="BIZ UDPゴシック"/>
                <w:b w:val="0"/>
                <w:i w:val="0"/>
                <w:smallCaps w:val="0"/>
                <w:color w:val="000000"/>
                <w:sz w:val="22"/>
              </w:rPr>
            </w:pPr>
          </w:p>
        </w:tc>
        <w:tc>
          <w:tcPr>
            <w:tcW w:w="13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78" w:type="dxa"/>
              <w:bottom w:w="56" w:type="dxa"/>
              <w:right w:w="78" w:type="dxa"/>
            </w:tcMar>
            <w:vAlign w:val="center"/>
          </w:tcPr>
          <w:p>
            <w:pPr>
              <w:pStyle w:val="22"/>
              <w:rPr>
                <w:rFonts w:hint="default" w:ascii="游ゴシック" w:hAnsi="游ゴシック" w:eastAsia="游ゴシック"/>
                <w:b w:val="0"/>
                <w:color w:val="000000" w:themeColor="text1"/>
                <w:sz w:val="32"/>
              </w:rPr>
            </w:pPr>
            <w:r>
              <w:rPr>
                <w:rFonts w:hint="default" w:ascii="BIZ UDPゴシック" w:hAnsi="BIZ UDPゴシック" w:eastAsia="BIZ UDPゴシック"/>
                <w:b w:val="0"/>
                <w:color w:val="000000" w:themeColor="text1"/>
                <w:sz w:val="21"/>
              </w:rPr>
              <w:t>深夜帯</w:t>
            </w:r>
            <w:r>
              <w:rPr>
                <w:rFonts w:hint="default" w:ascii="BIZ UDPゴシック" w:hAnsi="BIZ UDPゴシック" w:eastAsia="BIZ UDPゴシック"/>
                <w:b w:val="0"/>
                <w:color w:val="000000" w:themeColor="text1"/>
                <w:sz w:val="21"/>
              </w:rPr>
              <w:br w:type="textWrapping" w:clear="none"/>
            </w:r>
            <w:r>
              <w:rPr>
                <w:rFonts w:hint="default" w:ascii="BIZ UDPゴシック" w:hAnsi="BIZ UDPゴシック" w:eastAsia="BIZ UDPゴシック"/>
                <w:b w:val="0"/>
                <w:color w:val="000000" w:themeColor="text1"/>
                <w:sz w:val="12"/>
              </w:rPr>
              <w:t>(0</w:t>
            </w:r>
            <w:r>
              <w:rPr>
                <w:rFonts w:hint="default" w:ascii="BIZ UDPゴシック" w:hAnsi="BIZ UDPゴシック" w:eastAsia="BIZ UDPゴシック"/>
                <w:b w:val="0"/>
                <w:color w:val="000000" w:themeColor="text1"/>
                <w:sz w:val="12"/>
              </w:rPr>
              <w:t>時～日の出</w:t>
            </w:r>
            <w:r>
              <w:rPr>
                <w:rFonts w:hint="default" w:ascii="BIZ UDPゴシック" w:hAnsi="BIZ UDPゴシック" w:eastAsia="BIZ UDPゴシック"/>
                <w:b w:val="0"/>
                <w:color w:val="000000" w:themeColor="text1"/>
                <w:sz w:val="12"/>
              </w:rPr>
              <w:t>)</w:t>
            </w:r>
          </w:p>
        </w:tc>
        <w:tc>
          <w:tcPr>
            <w:tcW w:w="40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状況に応じ夜間よりも周辺環境に配慮した輝度</w:t>
            </w:r>
          </w:p>
        </w:tc>
        <w:tc>
          <w:tcPr>
            <w:tcW w:w="2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完全消灯</w:t>
            </w:r>
          </w:p>
        </w:tc>
        <w:tc>
          <w:tcPr>
            <w:tcW w:w="2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top w:w="56" w:type="dxa"/>
              <w:left w:w="118" w:type="dxa"/>
              <w:bottom w:w="56" w:type="dxa"/>
              <w:right w:w="118" w:type="dxa"/>
            </w:tcMar>
            <w:vAlign w:val="center"/>
          </w:tcPr>
          <w:p>
            <w:pPr>
              <w:pStyle w:val="0"/>
              <w:jc w:val="right"/>
              <w:rPr>
                <w:rFonts w:hint="eastAsia"/>
                <w:sz w:val="20"/>
              </w:rPr>
            </w:pPr>
            <w:r>
              <w:rPr>
                <w:rFonts w:hint="default" w:ascii="BIZ UDPゴシック" w:hAnsi="BIZ UDPゴシック" w:eastAsia="BIZ UDPゴシック"/>
                <w:color w:val="000000"/>
                <w:sz w:val="14"/>
              </w:rPr>
              <w:t>cd/</w:t>
            </w:r>
            <w:r>
              <w:rPr>
                <w:rFonts w:hint="default" w:ascii="BIZ UDPゴシック" w:hAnsi="BIZ UDPゴシック" w:eastAsia="BIZ UDPゴシック"/>
                <w:color w:val="000000"/>
                <w:sz w:val="14"/>
              </w:rPr>
              <w:t>㎡</w:t>
            </w:r>
          </w:p>
        </w:tc>
      </w:tr>
      <w:tr>
        <w:trPr>
          <w:trHeight w:val="592" w:hRule="atLeast"/>
        </w:trPr>
        <w:tc>
          <w:tcPr>
            <w:tcW w:w="4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3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78" w:type="dxa"/>
              <w:bottom w:w="56" w:type="dxa"/>
              <w:right w:w="78" w:type="dxa"/>
            </w:tcMar>
            <w:vAlign w:val="center"/>
          </w:tcPr>
          <w:p>
            <w:pPr>
              <w:pStyle w:val="22"/>
              <w:rPr>
                <w:rFonts w:hint="default" w:ascii="游ゴシック" w:hAnsi="游ゴシック" w:eastAsia="游ゴシック"/>
                <w:b w:val="0"/>
                <w:color w:val="000000" w:themeColor="text1"/>
                <w:sz w:val="32"/>
              </w:rPr>
            </w:pPr>
            <w:r>
              <w:rPr>
                <w:rFonts w:hint="default" w:ascii="BIZ UDPゴシック" w:hAnsi="BIZ UDPゴシック" w:eastAsia="BIZ UDPゴシック"/>
                <w:b w:val="0"/>
                <w:color w:val="000000" w:themeColor="text1"/>
                <w:sz w:val="21"/>
              </w:rPr>
              <w:t>上方光束</w:t>
            </w: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w:t>
            </w:r>
          </w:p>
        </w:tc>
        <w:tc>
          <w:tcPr>
            <w:tcW w:w="40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必要に応じ庇やカバーなどの</w:t>
            </w:r>
          </w:p>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適切な遮蔽物の下部に設置</w:t>
            </w:r>
          </w:p>
        </w:tc>
        <w:tc>
          <w:tcPr>
            <w:tcW w:w="2082" w:type="dxa"/>
            <w:tcBorders>
              <w:top w:val="none" w:color="auto" w:sz="0" w:space="0"/>
              <w:left w:val="none" w:color="auto" w:sz="0" w:space="0"/>
              <w:bottom w:val="none" w:color="auto" w:sz="0" w:space="0"/>
              <w:right w:val="none" w:color="auto" w:sz="0" w:space="0"/>
              <w:tl2br w:val="none" w:color="auto" w:sz="0" w:space="0"/>
              <w:tr2bl w:val="single" w:color="000000" w:themeColor="text1" w:sz="4" w:space="0"/>
            </w:tcBorders>
            <w:shd w:val="clear" w:color="auto" w:fill="auto"/>
            <w:tcMar>
              <w:top w:w="56" w:type="dxa"/>
              <w:left w:w="118" w:type="dxa"/>
              <w:bottom w:w="56" w:type="dxa"/>
              <w:right w:w="118" w:type="dxa"/>
            </w:tcMar>
            <w:vAlign w:val="center"/>
          </w:tcPr>
          <w:p>
            <w:pPr>
              <w:pStyle w:val="0"/>
              <w:spacing w:line="240" w:lineRule="auto"/>
              <w:rPr>
                <w:rFonts w:hint="eastAsia"/>
                <w:sz w:val="20"/>
              </w:rPr>
            </w:pPr>
          </w:p>
        </w:tc>
      </w:tr>
      <w:tr>
        <w:trPr>
          <w:trHeight w:val="680" w:hRule="atLeast"/>
        </w:trPr>
        <w:tc>
          <w:tcPr>
            <w:tcW w:w="13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6" w:type="dxa"/>
              <w:bottom w:w="56" w:type="dxa"/>
              <w:right w:w="78" w:type="dxa"/>
            </w:tcMar>
            <w:vAlign w:val="center"/>
          </w:tcPr>
          <w:p>
            <w:pPr>
              <w:pStyle w:val="22"/>
              <w:rPr>
                <w:rFonts w:hint="default" w:ascii="游ゴシック" w:hAnsi="游ゴシック" w:eastAsia="游ゴシック"/>
                <w:b w:val="0"/>
                <w:color w:val="000000" w:themeColor="text1"/>
                <w:sz w:val="32"/>
              </w:rPr>
            </w:pPr>
            <w:r>
              <w:rPr>
                <w:rFonts w:hint="default" w:ascii="BIZ UDPゴシック" w:hAnsi="BIZ UDPゴシック" w:eastAsia="BIZ UDPゴシック"/>
                <w:b w:val="0"/>
                <w:color w:val="000000" w:themeColor="text1"/>
                <w:sz w:val="20"/>
              </w:rPr>
              <w:t>色</w:t>
            </w: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w:t>
            </w:r>
          </w:p>
        </w:tc>
        <w:tc>
          <w:tcPr>
            <w:tcW w:w="20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高彩度を控える</w:t>
            </w:r>
          </w:p>
        </w:tc>
        <w:tc>
          <w:tcPr>
            <w:tcW w:w="2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高彩度を控え</w:t>
            </w:r>
            <w:r>
              <w:rPr>
                <w:rFonts w:hint="eastAsia" w:ascii="BIZ UDPゴシック" w:hAnsi="BIZ UDPゴシック" w:eastAsia="BIZ UDPゴシック"/>
                <w:color w:val="000000"/>
                <w:sz w:val="21"/>
              </w:rPr>
              <w:t>る</w:t>
            </w:r>
            <w:r>
              <w:rPr>
                <w:rFonts w:hint="eastAsia" w:ascii="BIZ UDPゴシック" w:hAnsi="BIZ UDPゴシック" w:eastAsia="BIZ UDPゴシック"/>
                <w:color w:val="000000"/>
                <w:sz w:val="16"/>
              </w:rPr>
              <w:t>（</w:t>
            </w:r>
            <w:r>
              <w:rPr>
                <w:rFonts w:hint="default" w:ascii="BIZ UDPゴシック" w:hAnsi="BIZ UDPゴシック" w:eastAsia="BIZ UDPゴシック"/>
                <w:color w:val="000000"/>
                <w:sz w:val="16"/>
              </w:rPr>
              <w:t>アースカラー推奨</w:t>
            </w:r>
            <w:r>
              <w:rPr>
                <w:rFonts w:hint="eastAsia" w:ascii="BIZ UDPゴシック" w:hAnsi="BIZ UDPゴシック" w:eastAsia="BIZ UDPゴシック"/>
                <w:color w:val="000000"/>
                <w:sz w:val="16"/>
              </w:rPr>
              <w:t>）</w:t>
            </w:r>
          </w:p>
        </w:tc>
        <w:tc>
          <w:tcPr>
            <w:tcW w:w="2082" w:type="dxa"/>
            <w:tcBorders>
              <w:top w:val="none" w:color="auto" w:sz="0" w:space="0"/>
              <w:left w:val="none" w:color="auto" w:sz="0" w:space="0"/>
              <w:bottom w:val="none" w:color="auto" w:sz="0" w:space="0"/>
              <w:right w:val="none" w:color="auto" w:sz="0" w:space="0"/>
              <w:tl2br w:val="none" w:color="auto" w:sz="0" w:space="0"/>
              <w:tr2bl w:val="single" w:color="000000" w:themeColor="text1" w:sz="4" w:space="0"/>
            </w:tcBorders>
            <w:shd w:val="clear" w:color="auto" w:fill="auto"/>
            <w:tcMar>
              <w:top w:w="56" w:type="dxa"/>
              <w:left w:w="118" w:type="dxa"/>
              <w:bottom w:w="56" w:type="dxa"/>
              <w:right w:w="118" w:type="dxa"/>
            </w:tcMar>
            <w:vAlign w:val="center"/>
          </w:tcPr>
          <w:p>
            <w:pPr>
              <w:pStyle w:val="0"/>
              <w:spacing w:line="240" w:lineRule="auto"/>
              <w:rPr>
                <w:rFonts w:hint="eastAsia"/>
                <w:sz w:val="20"/>
              </w:rPr>
            </w:pPr>
          </w:p>
        </w:tc>
      </w:tr>
      <w:tr>
        <w:trPr>
          <w:trHeight w:val="680" w:hRule="atLeast"/>
        </w:trPr>
        <w:tc>
          <w:tcPr>
            <w:tcW w:w="13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6" w:type="dxa"/>
              <w:bottom w:w="56" w:type="dxa"/>
              <w:right w:w="78" w:type="dxa"/>
            </w:tcMar>
            <w:vAlign w:val="center"/>
          </w:tcPr>
          <w:p>
            <w:pPr>
              <w:pStyle w:val="22"/>
              <w:rPr>
                <w:rFonts w:hint="default" w:ascii="游ゴシック" w:hAnsi="游ゴシック" w:eastAsia="游ゴシック"/>
                <w:b w:val="0"/>
                <w:color w:val="000000" w:themeColor="text1"/>
                <w:sz w:val="32"/>
              </w:rPr>
            </w:pPr>
            <w:r>
              <w:rPr>
                <w:rFonts w:hint="default" w:ascii="BIZ UDPゴシック" w:hAnsi="BIZ UDPゴシック" w:eastAsia="BIZ UDPゴシック"/>
                <w:b w:val="0"/>
                <w:color w:val="000000" w:themeColor="text1"/>
                <w:sz w:val="20"/>
              </w:rPr>
              <w:t>動　き</w:t>
            </w: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w:t>
            </w:r>
          </w:p>
        </w:tc>
        <w:tc>
          <w:tcPr>
            <w:tcW w:w="20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w:t>
            </w:r>
          </w:p>
        </w:tc>
        <w:tc>
          <w:tcPr>
            <w:tcW w:w="2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静止画の切替</w:t>
            </w:r>
            <w:r>
              <w:rPr>
                <w:rFonts w:hint="default" w:ascii="BIZ UDPゴシック" w:hAnsi="BIZ UDPゴシック" w:eastAsia="BIZ UDPゴシック"/>
                <w:color w:val="000000"/>
                <w:sz w:val="18"/>
              </w:rPr>
              <w:t>（切替間隔</w:t>
            </w:r>
            <w:r>
              <w:rPr>
                <w:rFonts w:hint="default" w:ascii="BIZ UDPゴシック" w:hAnsi="BIZ UDPゴシック" w:eastAsia="BIZ UDPゴシック"/>
                <w:color w:val="000000"/>
                <w:sz w:val="18"/>
              </w:rPr>
              <w:t>10</w:t>
            </w:r>
            <w:r>
              <w:rPr>
                <w:rFonts w:hint="default" w:ascii="BIZ UDPゴシック" w:hAnsi="BIZ UDPゴシック" w:eastAsia="BIZ UDPゴシック"/>
                <w:color w:val="000000"/>
                <w:sz w:val="18"/>
              </w:rPr>
              <w:t>秒）</w:t>
            </w:r>
          </w:p>
        </w:tc>
        <w:tc>
          <w:tcPr>
            <w:tcW w:w="2082" w:type="dxa"/>
            <w:tcBorders>
              <w:top w:val="none" w:color="auto" w:sz="0" w:space="0"/>
              <w:left w:val="none" w:color="auto" w:sz="0" w:space="0"/>
              <w:bottom w:val="none" w:color="auto" w:sz="0" w:space="0"/>
              <w:right w:val="none" w:color="auto" w:sz="0" w:space="0"/>
              <w:tl2br w:val="none" w:color="auto" w:sz="0" w:space="0"/>
              <w:tr2bl w:val="single" w:color="000000" w:themeColor="text1" w:sz="4" w:space="0"/>
            </w:tcBorders>
            <w:shd w:val="clear" w:color="auto" w:fill="auto"/>
            <w:tcMar>
              <w:top w:w="56" w:type="dxa"/>
              <w:left w:w="118" w:type="dxa"/>
              <w:bottom w:w="56" w:type="dxa"/>
              <w:right w:w="118" w:type="dxa"/>
            </w:tcMar>
            <w:vAlign w:val="center"/>
          </w:tcPr>
          <w:p>
            <w:pPr>
              <w:pStyle w:val="0"/>
              <w:spacing w:line="240" w:lineRule="auto"/>
              <w:rPr>
                <w:rFonts w:hint="eastAsia"/>
                <w:sz w:val="20"/>
              </w:rPr>
            </w:pPr>
          </w:p>
        </w:tc>
      </w:tr>
      <w:tr>
        <w:trPr>
          <w:trHeight w:val="680" w:hRule="atLeast"/>
        </w:trPr>
        <w:tc>
          <w:tcPr>
            <w:tcW w:w="13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6" w:type="dxa"/>
              <w:bottom w:w="56" w:type="dxa"/>
              <w:right w:w="78" w:type="dxa"/>
            </w:tcMar>
            <w:vAlign w:val="center"/>
          </w:tcPr>
          <w:p>
            <w:pPr>
              <w:pStyle w:val="22"/>
              <w:rPr>
                <w:rFonts w:hint="default" w:ascii="游ゴシック" w:hAnsi="游ゴシック" w:eastAsia="游ゴシック"/>
                <w:b w:val="0"/>
                <w:color w:val="000000" w:themeColor="text1"/>
                <w:sz w:val="32"/>
              </w:rPr>
            </w:pPr>
            <w:r>
              <w:rPr>
                <w:rFonts w:hint="default" w:ascii="BIZ UDPゴシック" w:hAnsi="BIZ UDPゴシック" w:eastAsia="BIZ UDPゴシック"/>
                <w:b w:val="0"/>
                <w:color w:val="000000" w:themeColor="text1"/>
                <w:sz w:val="20"/>
              </w:rPr>
              <w:t>位　置</w:t>
            </w: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w:t>
            </w:r>
          </w:p>
        </w:tc>
        <w:tc>
          <w:tcPr>
            <w:tcW w:w="20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高さ</w:t>
            </w:r>
            <w:r>
              <w:rPr>
                <w:rFonts w:hint="default" w:ascii="BIZ UDPゴシック" w:hAnsi="BIZ UDPゴシック" w:eastAsia="BIZ UDPゴシック"/>
                <w:color w:val="000000"/>
                <w:sz w:val="21"/>
              </w:rPr>
              <w:t>9</w:t>
            </w:r>
            <w:r>
              <w:rPr>
                <w:rFonts w:hint="default" w:ascii="BIZ UDPゴシック" w:hAnsi="BIZ UDPゴシック" w:eastAsia="BIZ UDPゴシック"/>
                <w:color w:val="000000"/>
                <w:sz w:val="21"/>
              </w:rPr>
              <w:t>ｍ以下</w:t>
            </w:r>
          </w:p>
        </w:tc>
        <w:tc>
          <w:tcPr>
            <w:tcW w:w="2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高さ</w:t>
            </w:r>
            <w:r>
              <w:rPr>
                <w:rFonts w:hint="default" w:ascii="BIZ UDPゴシック" w:hAnsi="BIZ UDPゴシック" w:eastAsia="BIZ UDPゴシック"/>
                <w:color w:val="000000"/>
                <w:sz w:val="21"/>
              </w:rPr>
              <w:t>3</w:t>
            </w:r>
            <w:r>
              <w:rPr>
                <w:rFonts w:hint="default" w:ascii="BIZ UDPゴシック" w:hAnsi="BIZ UDPゴシック" w:eastAsia="BIZ UDPゴシック"/>
                <w:color w:val="000000"/>
                <w:sz w:val="21"/>
              </w:rPr>
              <w:t>ｍ以下</w:t>
            </w:r>
          </w:p>
        </w:tc>
        <w:tc>
          <w:tcPr>
            <w:tcW w:w="2082" w:type="dxa"/>
            <w:tcBorders>
              <w:top w:val="none" w:color="auto" w:sz="0" w:space="0"/>
              <w:left w:val="none" w:color="auto" w:sz="0" w:space="0"/>
              <w:bottom w:val="none" w:color="auto" w:sz="0" w:space="0"/>
              <w:right w:val="none" w:color="auto" w:sz="0" w:space="0"/>
              <w:tl2br w:val="none" w:color="auto" w:sz="0" w:space="0"/>
              <w:tr2bl w:val="single" w:color="000000" w:themeColor="text1" w:sz="4" w:space="0"/>
            </w:tcBorders>
            <w:shd w:val="clear" w:color="auto" w:fill="auto"/>
            <w:tcMar>
              <w:top w:w="56" w:type="dxa"/>
              <w:left w:w="118" w:type="dxa"/>
              <w:bottom w:w="56" w:type="dxa"/>
              <w:right w:w="118" w:type="dxa"/>
            </w:tcMar>
            <w:vAlign w:val="center"/>
          </w:tcPr>
          <w:p>
            <w:pPr>
              <w:pStyle w:val="0"/>
              <w:spacing w:line="240" w:lineRule="auto"/>
              <w:rPr>
                <w:rFonts w:hint="eastAsia"/>
                <w:sz w:val="20"/>
              </w:rPr>
            </w:pPr>
          </w:p>
        </w:tc>
      </w:tr>
      <w:tr>
        <w:trPr>
          <w:trHeight w:val="680" w:hRule="atLeast"/>
        </w:trPr>
        <w:tc>
          <w:tcPr>
            <w:tcW w:w="13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6" w:type="dxa"/>
              <w:bottom w:w="56" w:type="dxa"/>
              <w:right w:w="78" w:type="dxa"/>
            </w:tcMar>
            <w:vAlign w:val="center"/>
          </w:tcPr>
          <w:p>
            <w:pPr>
              <w:pStyle w:val="22"/>
              <w:rPr>
                <w:rFonts w:hint="default" w:ascii="游ゴシック" w:hAnsi="游ゴシック" w:eastAsia="游ゴシック"/>
                <w:b w:val="0"/>
                <w:color w:val="000000" w:themeColor="text1"/>
                <w:sz w:val="32"/>
              </w:rPr>
            </w:pPr>
            <w:r>
              <w:rPr>
                <w:rFonts w:hint="default" w:ascii="BIZ UDPゴシック" w:hAnsi="BIZ UDPゴシック" w:eastAsia="BIZ UDPゴシック"/>
                <w:b w:val="0"/>
                <w:color w:val="000000" w:themeColor="text1"/>
                <w:sz w:val="20"/>
              </w:rPr>
              <w:t>音</w:t>
            </w: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65dB</w:t>
            </w:r>
            <w:r>
              <w:rPr>
                <w:rFonts w:hint="default" w:ascii="BIZ UDPゴシック" w:hAnsi="BIZ UDPゴシック" w:eastAsia="BIZ UDPゴシック"/>
                <w:color w:val="000000"/>
                <w:sz w:val="21"/>
              </w:rPr>
              <w:t>以下</w:t>
            </w:r>
            <w:r>
              <w:rPr>
                <w:rFonts w:hint="default" w:ascii="BIZ UDPゴシック" w:hAnsi="BIZ UDPゴシック" w:eastAsia="BIZ UDPゴシック"/>
                <w:color w:val="000000"/>
                <w:sz w:val="18"/>
              </w:rPr>
              <w:t>かつ</w:t>
            </w:r>
          </w:p>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6</w:t>
            </w:r>
            <w:r>
              <w:rPr>
                <w:rFonts w:hint="default" w:ascii="BIZ UDPゴシック" w:hAnsi="BIZ UDPゴシック" w:eastAsia="BIZ UDPゴシック"/>
                <w:color w:val="000000"/>
                <w:sz w:val="21"/>
              </w:rPr>
              <w:t>～</w:t>
            </w:r>
            <w:r>
              <w:rPr>
                <w:rFonts w:hint="default" w:ascii="BIZ UDPゴシック" w:hAnsi="BIZ UDPゴシック" w:eastAsia="BIZ UDPゴシック"/>
                <w:color w:val="000000"/>
                <w:sz w:val="21"/>
              </w:rPr>
              <w:t>22</w:t>
            </w:r>
            <w:r>
              <w:rPr>
                <w:rFonts w:hint="default" w:ascii="BIZ UDPゴシック" w:hAnsi="BIZ UDPゴシック" w:eastAsia="BIZ UDPゴシック"/>
                <w:color w:val="000000"/>
                <w:sz w:val="21"/>
              </w:rPr>
              <w:t>時のみ</w:t>
            </w:r>
          </w:p>
        </w:tc>
        <w:tc>
          <w:tcPr>
            <w:tcW w:w="20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出力不可</w:t>
            </w:r>
          </w:p>
        </w:tc>
        <w:tc>
          <w:tcPr>
            <w:tcW w:w="2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top w:w="56" w:type="dxa"/>
              <w:left w:w="118" w:type="dxa"/>
              <w:bottom w:w="56" w:type="dxa"/>
              <w:right w:w="118" w:type="dxa"/>
            </w:tcMar>
            <w:vAlign w:val="center"/>
          </w:tcPr>
          <w:p>
            <w:pPr>
              <w:pStyle w:val="22"/>
              <w:rPr>
                <w:rFonts w:hint="default" w:ascii="游ゴシック" w:hAnsi="游ゴシック" w:eastAsia="游ゴシック"/>
                <w:sz w:val="32"/>
              </w:rPr>
            </w:pPr>
            <w:r>
              <w:rPr>
                <w:rFonts w:hint="default" w:ascii="BIZ UDPゴシック" w:hAnsi="BIZ UDPゴシック" w:eastAsia="BIZ UDPゴシック"/>
                <w:color w:val="000000"/>
                <w:sz w:val="21"/>
              </w:rPr>
              <w:t>出力不可</w:t>
            </w:r>
          </w:p>
        </w:tc>
        <w:tc>
          <w:tcPr>
            <w:tcW w:w="2082" w:type="dxa"/>
            <w:tcBorders>
              <w:top w:val="none" w:color="auto" w:sz="0" w:space="0"/>
              <w:left w:val="none" w:color="auto" w:sz="0" w:space="0"/>
              <w:bottom w:val="none" w:color="auto" w:sz="0" w:space="0"/>
              <w:right w:val="none" w:color="auto" w:sz="0" w:space="0"/>
              <w:tl2br w:val="none" w:color="auto" w:sz="0" w:space="0"/>
              <w:tr2bl w:val="single" w:color="000000" w:themeColor="text1" w:sz="4" w:space="0"/>
            </w:tcBorders>
            <w:shd w:val="clear" w:color="auto" w:fill="auto"/>
            <w:tcMar>
              <w:top w:w="56" w:type="dxa"/>
              <w:left w:w="118" w:type="dxa"/>
              <w:bottom w:w="56" w:type="dxa"/>
              <w:right w:w="118" w:type="dxa"/>
            </w:tcMar>
            <w:vAlign w:val="center"/>
          </w:tcPr>
          <w:p>
            <w:pPr>
              <w:pStyle w:val="0"/>
              <w:spacing w:line="240" w:lineRule="auto"/>
              <w:rPr>
                <w:rFonts w:hint="eastAsia"/>
                <w:sz w:val="20"/>
              </w:rPr>
            </w:pPr>
          </w:p>
        </w:tc>
      </w:tr>
    </w:tbl>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※設置場所から</w:t>
      </w:r>
      <w:r>
        <w:rPr>
          <w:rFonts w:hint="eastAsia" w:ascii="BIZ UDPゴシック" w:hAnsi="BIZ UDPゴシック" w:eastAsia="BIZ UDPゴシック"/>
          <w:sz w:val="22"/>
        </w:rPr>
        <w:t>30m</w:t>
      </w:r>
      <w:r>
        <w:rPr>
          <w:rFonts w:hint="eastAsia" w:ascii="BIZ UDPゴシック" w:hAnsi="BIZ UDPゴシック" w:eastAsia="BIZ UDPゴシック"/>
          <w:sz w:val="22"/>
        </w:rPr>
        <w:t>離れた地点から表示面を視認した際に、２つ以上の辺に屋外広告物以外の光源又は光の反射が接する場合は、（）内の輝度まで緩和</w:t>
      </w:r>
    </w:p>
    <w:p>
      <w:pPr>
        <w:pStyle w:val="0"/>
        <w:rPr>
          <w:rFonts w:hint="eastAsia" w:ascii="BIZ UDPゴシック" w:hAnsi="BIZ UDPゴシック" w:eastAsia="BIZ UDPゴシック"/>
          <w:sz w:val="22"/>
        </w:rPr>
      </w:pPr>
    </w:p>
    <w:p>
      <w:pPr>
        <w:pStyle w:val="0"/>
        <w:numPr>
          <w:ilvl w:val="0"/>
          <w:numId w:val="1"/>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sz w:val="22"/>
        </w:rPr>
        <w:t>歩行者の目線の高さと同じ高さ（地表面から</w:t>
      </w:r>
      <w:r>
        <w:rPr>
          <w:rFonts w:hint="eastAsia" w:ascii="BIZ UDPゴシック" w:hAnsi="BIZ UDPゴシック" w:eastAsia="BIZ UDPゴシック"/>
          <w:sz w:val="22"/>
        </w:rPr>
        <w:t>1</w:t>
      </w:r>
      <w:r>
        <w:rPr>
          <w:rFonts w:hint="eastAsia" w:ascii="BIZ UDPゴシック" w:hAnsi="BIZ UDPゴシック" w:eastAsia="BIZ UDPゴシック"/>
          <w:sz w:val="22"/>
        </w:rPr>
        <w:t>～</w:t>
      </w:r>
      <w:r>
        <w:rPr>
          <w:rFonts w:hint="eastAsia" w:ascii="BIZ UDPゴシック" w:hAnsi="BIZ UDPゴシック" w:eastAsia="BIZ UDPゴシック"/>
          <w:sz w:val="22"/>
        </w:rPr>
        <w:t>2m</w:t>
      </w:r>
      <w:r>
        <w:rPr>
          <w:rFonts w:hint="eastAsia" w:ascii="BIZ UDPゴシック" w:hAnsi="BIZ UDPゴシック" w:eastAsia="BIZ UDPゴシック"/>
          <w:sz w:val="22"/>
        </w:rPr>
        <w:t>程度）に</w:t>
      </w:r>
      <w:r>
        <w:rPr>
          <w:rFonts w:hint="eastAsia" w:ascii="BIZ UDPゴシック" w:hAnsi="BIZ UDPゴシック" w:eastAsia="BIZ UDPゴシック"/>
          <w:sz w:val="22"/>
        </w:rPr>
        <w:t>LED</w:t>
      </w:r>
      <w:r>
        <w:rPr>
          <w:rFonts w:hint="eastAsia" w:ascii="BIZ UDPゴシック" w:hAnsi="BIZ UDPゴシック" w:eastAsia="BIZ UDPゴシック"/>
          <w:sz w:val="22"/>
        </w:rPr>
        <w:t>を使用した表示面を配置する場合は、表に示す基準値以上に輝度に配慮すること。</w:t>
      </w:r>
    </w:p>
    <w:p>
      <w:pPr>
        <w:pStyle w:val="0"/>
        <w:numPr>
          <w:ilvl w:val="0"/>
          <w:numId w:val="1"/>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sz w:val="22"/>
        </w:rPr>
        <w:t>反射・映り込み防止フィルム等を活用することにより、画面を見やすくするとともに、明るさを抑えること。</w:t>
      </w:r>
    </w:p>
    <w:p>
      <w:pPr>
        <w:pStyle w:val="0"/>
        <w:numPr>
          <w:ilvl w:val="0"/>
          <w:numId w:val="1"/>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sz w:val="22"/>
        </w:rPr>
        <w:t>フリッカー（ちらつき）を抑制するため、リフレッシュレート（垂直同期周波数）の高い表示機器を使用するか、フレームレート（コマ数）とリフレッシュレートを合わせること。</w:t>
      </w:r>
    </w:p>
    <w:p>
      <w:pPr>
        <w:pStyle w:val="19"/>
        <w:numPr>
          <w:ilvl w:val="0"/>
          <w:numId w:val="2"/>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sz w:val="22"/>
        </w:rPr>
        <w:t>適切なコントラストにより視認性を確保すること。</w:t>
      </w:r>
    </w:p>
    <w:p>
      <w:pPr>
        <w:pStyle w:val="19"/>
        <w:numPr>
          <w:ilvl w:val="0"/>
          <w:numId w:val="2"/>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sz w:val="22"/>
        </w:rPr>
        <w:t>信号機付近では信号機の光に類似した色を使用しないこと。</w:t>
      </w:r>
    </w:p>
    <w:p>
      <w:pPr>
        <w:pStyle w:val="19"/>
        <w:numPr>
          <w:ilvl w:val="0"/>
          <w:numId w:val="2"/>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sz w:val="22"/>
        </w:rPr>
        <w:t>うずまき模様、細かい縞模様、同心円等、錯覚を引き起こすような規則的なパターン模様が大部分を占める表示は避けること。</w:t>
      </w:r>
    </w:p>
    <w:p>
      <w:pPr>
        <w:pStyle w:val="0"/>
        <w:numPr>
          <w:ilvl w:val="0"/>
          <w:numId w:val="1"/>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sz w:val="22"/>
        </w:rPr>
        <w:t>自立型の場合、筐体自体についても周辺の建築物ファサードや景観との調和を図った色彩や形態とすること。</w:t>
      </w:r>
    </w:p>
    <w:p>
      <w:pPr>
        <w:pStyle w:val="19"/>
        <w:numPr>
          <w:ilvl w:val="0"/>
          <w:numId w:val="3"/>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sz w:val="22"/>
        </w:rPr>
        <w:t>映像や光の点滅は、１秒間に３回を超える使用を避け、かつ１秒間中の輝度変化を</w:t>
      </w:r>
      <w:r>
        <w:rPr>
          <w:rFonts w:hint="eastAsia" w:ascii="BIZ UDPゴシック" w:hAnsi="BIZ UDPゴシック" w:eastAsia="BIZ UDPゴシック"/>
          <w:sz w:val="22"/>
        </w:rPr>
        <w:t>20%</w:t>
      </w:r>
      <w:r>
        <w:rPr>
          <w:rFonts w:hint="eastAsia" w:ascii="BIZ UDPゴシック" w:hAnsi="BIZ UDPゴシック" w:eastAsia="BIZ UDPゴシック"/>
          <w:sz w:val="22"/>
        </w:rPr>
        <w:t>以下に抑えること。加えて、これを連続して</w:t>
      </w:r>
      <w:r>
        <w:rPr>
          <w:rFonts w:hint="eastAsia" w:ascii="BIZ UDPゴシック" w:hAnsi="BIZ UDPゴシック" w:eastAsia="BIZ UDPゴシック"/>
          <w:sz w:val="22"/>
        </w:rPr>
        <w:t>2</w:t>
      </w:r>
      <w:r>
        <w:rPr>
          <w:rFonts w:hint="eastAsia" w:ascii="BIZ UDPゴシック" w:hAnsi="BIZ UDPゴシック" w:eastAsia="BIZ UDPゴシック"/>
          <w:sz w:val="22"/>
        </w:rPr>
        <w:t>秒を超えて行わないこと。</w:t>
      </w:r>
    </w:p>
    <w:p>
      <w:pPr>
        <w:pStyle w:val="19"/>
        <w:numPr>
          <w:ilvl w:val="0"/>
          <w:numId w:val="3"/>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sz w:val="22"/>
        </w:rPr>
        <w:t>点滅が同時に起こる面積が画面の４分の１を超えないこと。</w:t>
      </w:r>
    </w:p>
    <w:p>
      <w:pPr>
        <w:pStyle w:val="19"/>
        <w:numPr>
          <w:ilvl w:val="0"/>
          <w:numId w:val="3"/>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sz w:val="22"/>
        </w:rPr>
        <w:t>鮮やかな赤色の点滅は特に慎重に扱うこと。</w:t>
      </w:r>
    </w:p>
    <w:p>
      <w:pPr>
        <w:pStyle w:val="19"/>
        <w:numPr>
          <w:ilvl w:val="0"/>
          <w:numId w:val="3"/>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sz w:val="22"/>
        </w:rPr>
        <w:t>極端に長いストーリーやクイズ等、受け手の注目を過度に集める表現を避けること。</w:t>
      </w:r>
    </w:p>
    <w:p>
      <w:pPr>
        <w:pStyle w:val="0"/>
        <w:numPr>
          <w:ilvl w:val="0"/>
          <w:numId w:val="1"/>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sz w:val="22"/>
        </w:rPr>
        <w:t>サブリミナル効果等の通常感知しえない方法による表現を避けること。</w:t>
      </w:r>
    </w:p>
    <w:p>
      <w:pPr>
        <w:pStyle w:val="19"/>
        <w:numPr>
          <w:ilvl w:val="0"/>
          <w:numId w:val="3"/>
        </w:numPr>
        <w:ind w:leftChars="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道路から信号機や道路標識を視認する際に表示面が重なる等、交通安全を阻害するものとならないよう設置位置及び表示面の向き・角度に配慮すること。</w:t>
      </w:r>
    </w:p>
    <w:p>
      <w:pPr>
        <w:pStyle w:val="19"/>
        <w:numPr>
          <w:ilvl w:val="0"/>
          <w:numId w:val="3"/>
        </w:numPr>
        <w:ind w:leftChars="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特に交差点においては、右折レーンの進行方向に正対する位置に表示面を向けないこと。</w:t>
      </w:r>
    </w:p>
    <w:p>
      <w:pPr>
        <w:pStyle w:val="19"/>
        <w:numPr>
          <w:ilvl w:val="0"/>
          <w:numId w:val="3"/>
        </w:numPr>
        <w:ind w:leftChars="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水面（湖面や川面など）に近接して設置する場合は、夜間、水面に表示面の光が反射しないように配慮すること。</w:t>
      </w:r>
    </w:p>
    <w:p>
      <w:pPr>
        <w:pStyle w:val="0"/>
        <w:numPr>
          <w:ilvl w:val="0"/>
          <w:numId w:val="1"/>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b w:val="0"/>
          <w:sz w:val="22"/>
        </w:rPr>
        <w:t>歴史的風致形成建造物に近接して設置する場合は、設置場所や設置方法について周辺環境に合わせること。</w:t>
      </w:r>
    </w:p>
    <w:p>
      <w:pPr>
        <w:pStyle w:val="19"/>
        <w:numPr>
          <w:ilvl w:val="0"/>
          <w:numId w:val="3"/>
        </w:numPr>
        <w:ind w:leftChars="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デジタルサイネージの設置に際しては、各指針を踏まえ、茨城県警察土浦警察署交通</w:t>
      </w:r>
      <w:r>
        <w:rPr>
          <w:rFonts w:hint="eastAsia"/>
        </w:rPr>
        <mc:AlternateContent>
          <mc:Choice Requires="wps">
            <w:drawing>
              <wp:anchor distT="0" distB="0" distL="203200" distR="203200" simplePos="0" relativeHeight="2" behindDoc="0" locked="0" layoutInCell="1" hidden="0" allowOverlap="1">
                <wp:simplePos x="0" y="0"/>
                <wp:positionH relativeFrom="column">
                  <wp:posOffset>142240</wp:posOffset>
                </wp:positionH>
                <wp:positionV relativeFrom="paragraph">
                  <wp:posOffset>443230</wp:posOffset>
                </wp:positionV>
                <wp:extent cx="5345430" cy="6838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345430" cy="683895"/>
                        </a:xfrm>
                        <a:prstGeom prst="bracketPair">
                          <a:avLst>
                            <a:gd name="adj" fmla="val 1374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4.9pt;mso-position-vertical-relative:text;mso-position-horizontal-relative:text;position:absolute;height:53.85pt;mso-wrap-distance-top:0pt;width:420.9pt;mso-wrap-distance-left:16pt;margin-left:11.2pt;z-index:2;" o:spid="_x0000_s1026" o:allowincell="t" o:allowoverlap="t" filled="f" stroked="t" strokecolor="#000000 [3213]" strokeweight="0.5pt" o:spt="185" type="#_x0000_t185" adj="2969">
                <v:fill/>
                <v:stroke linestyle="single" miterlimit="8" endcap="flat" dashstyle="solid" filltype="solid"/>
                <v:textbox style="layout-flow:horizontal;"/>
                <v:imagedata o:title=""/>
                <w10:wrap type="none" anchorx="text" anchory="text"/>
              </v:shape>
            </w:pict>
          </mc:Fallback>
        </mc:AlternateContent>
      </w:r>
      <w:r>
        <w:rPr>
          <w:rFonts w:hint="eastAsia" w:ascii="BIZ UDPゴシック" w:hAnsi="BIZ UDPゴシック" w:eastAsia="BIZ UDPゴシック"/>
          <w:b w:val="0"/>
          <w:sz w:val="22"/>
        </w:rPr>
        <w:t>課に対し事前の協議を行うこと。</w:t>
      </w:r>
    </w:p>
    <w:p>
      <w:pPr>
        <w:pStyle w:val="19"/>
        <w:numPr>
          <w:numId w:val="0"/>
        </w:numPr>
        <w:ind w:left="420"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協議日：　　　　年　　　月　　　日</w:t>
      </w:r>
    </w:p>
    <w:p>
      <w:pPr>
        <w:pStyle w:val="19"/>
        <w:numPr>
          <w:numId w:val="0"/>
        </w:numPr>
        <w:ind w:left="420"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担当者：</w:t>
      </w:r>
    </w:p>
    <w:p>
      <w:pPr>
        <w:pStyle w:val="19"/>
        <w:numPr>
          <w:numId w:val="0"/>
        </w:numPr>
        <w:ind w:left="420"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0"/>
          <w:spacing w:val="110"/>
          <w:sz w:val="22"/>
          <w:fitText w:val="660" w:id="1"/>
        </w:rPr>
        <w:t>意</w:t>
      </w:r>
      <w:r>
        <w:rPr>
          <w:rFonts w:hint="eastAsia" w:ascii="BIZ UDPゴシック" w:hAnsi="BIZ UDPゴシック" w:eastAsia="BIZ UDPゴシック"/>
          <w:b w:val="0"/>
          <w:sz w:val="22"/>
          <w:fitText w:val="660" w:id="1"/>
        </w:rPr>
        <w:t>見</w:t>
      </w:r>
      <w:r>
        <w:rPr>
          <w:rFonts w:hint="eastAsia" w:ascii="BIZ UDPゴシック" w:hAnsi="BIZ UDPゴシック" w:eastAsia="BIZ UDPゴシック"/>
          <w:b w:val="0"/>
          <w:sz w:val="22"/>
        </w:rPr>
        <w:t>：</w:t>
      </w:r>
    </w:p>
    <w:p>
      <w:pPr>
        <w:pStyle w:val="19"/>
        <w:numPr>
          <w:ilvl w:val="0"/>
          <w:numId w:val="3"/>
        </w:numPr>
        <w:ind w:leftChars="0" w:firstLineChars="0"/>
        <w:rPr>
          <w:rFonts w:hint="eastAsia" w:ascii="BIZ UDPゴシック" w:hAnsi="BIZ UDPゴシック" w:eastAsia="BIZ UDPゴシック"/>
          <w:b w:val="0"/>
          <w:sz w:val="22"/>
        </w:rPr>
      </w:pPr>
      <w:r>
        <w:rPr>
          <w:rFonts w:hint="eastAsia" w:ascii="BIZ UDPゴシック" w:hAnsi="BIZ UDPゴシック" w:eastAsia="BIZ UDPゴシック"/>
          <w:b w:val="0"/>
          <w:sz w:val="22"/>
        </w:rPr>
        <w:t>光や色等、デジタルサイネージについて近隣等から苦情があった場合には、設置者・管理者において誠実に対応すること。</w:t>
      </w:r>
    </w:p>
    <w:p>
      <w:pPr>
        <w:pStyle w:val="0"/>
        <w:numPr>
          <w:ilvl w:val="0"/>
          <w:numId w:val="1"/>
        </w:numPr>
        <w:ind w:leftChars="0" w:firstLineChars="0"/>
        <w:rPr>
          <w:rFonts w:hint="eastAsia" w:ascii="BIZ UDPゴシック" w:hAnsi="BIZ UDPゴシック" w:eastAsia="BIZ UDPゴシック"/>
          <w:sz w:val="22"/>
        </w:rPr>
      </w:pPr>
      <w:r>
        <w:rPr>
          <w:rFonts w:hint="eastAsia" w:ascii="BIZ UDPゴシック" w:hAnsi="BIZ UDPゴシック" w:eastAsia="BIZ UDPゴシック"/>
          <w:b w:val="0"/>
          <w:sz w:val="22"/>
        </w:rPr>
        <w:t>災害発生時における被災状況や避難誘導情報、防災関連情報等の緊急性の高い内容を公益のため表示する場合、その表示内容に限っては、本ガイドラインに示す指針に準拠することを要しない。</w:t>
      </w:r>
    </w:p>
    <w:p>
      <w:pPr>
        <w:pStyle w:val="0"/>
        <w:numPr>
          <w:numId w:val="0"/>
        </w:numPr>
        <w:ind w:left="420" w:leftChars="0" w:firstLine="0" w:firstLineChars="0"/>
        <w:rPr>
          <w:rFonts w:hint="eastAsia" w:ascii="BIZ UDPゴシック" w:hAnsi="BIZ UDPゴシック" w:eastAsia="BIZ UDPゴシック"/>
          <w:sz w:val="22"/>
        </w:rPr>
      </w:pPr>
    </w:p>
    <w:p>
      <w:pPr>
        <w:pStyle w:val="0"/>
        <w:numPr>
          <w:numId w:val="0"/>
        </w:numPr>
        <w:ind w:leftChars="0" w:firstLineChars="0"/>
        <w:jc w:val="center"/>
        <w:rPr>
          <w:rFonts w:hint="eastAsia" w:ascii="BIZ UDPゴシック" w:hAnsi="BIZ UDPゴシック" w:eastAsia="BIZ UDPゴシック"/>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YuGothic-Bold">
    <w:panose1 w:val="00000000000000000000"/>
    <w:charset w:val="80"/>
    <w:family w:val="auto"/>
    <w:notTrueType/>
    <w:pitch w:val="fixed"/>
    <w:sig w:usb0="00000000" w:usb1="00000000" w:usb2="00000000" w:usb3="00000000" w:csb0="00000000" w:csb1="00000000"/>
  </w:font>
  <w:font w:name="YuGothic-Regular">
    <w:panose1 w:val="00000000000000000000"/>
    <w:charset w:val="80"/>
    <w:family w:val="auto"/>
    <w:notTrueType/>
    <w:pitch w:val="fixed"/>
    <w:sig w:usb0="00000000" w:usb1="00000000" w:usb2="00000000" w:usb3="00000000" w:csb0="00000000" w:csb1="00000000"/>
  </w:font>
  <w:font w:name="HGSｺﾞｼｯｸE">
    <w:panose1 w:val="00000000000000000000"/>
    <w:charset w:val="80"/>
    <w:family w:val="moder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2F87418"/>
    <w:lvl w:ilvl="0" w:tplc="3FAB5CFB">
      <w:numFmt w:val="bullet"/>
      <w:lvlText w:val="□"/>
      <w:lvlJc w:val="left"/>
      <w:pPr>
        <w:ind w:left="420" w:hanging="420"/>
      </w:pPr>
      <w:rPr>
        <w:rFonts w:hint="eastAsia" w:ascii="ＭＳ Ｐゴシック" w:hAnsi="ＭＳ Ｐゴシック" w:eastAsia="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A063BED2"/>
    <w:lvl w:ilvl="0" w:tplc="3FAB5CFB">
      <w:numFmt w:val="bullet"/>
      <w:lvlText w:val="□"/>
      <w:lvlJc w:val="left"/>
      <w:pPr>
        <w:ind w:left="420" w:hanging="420"/>
      </w:pPr>
      <w:rPr>
        <w:rFonts w:hint="eastAsia" w:ascii="ＭＳ Ｐゴシック" w:hAnsi="ＭＳ Ｐゴシック" w:eastAsia="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2287CD2C"/>
    <w:lvl w:ilvl="0" w:tplc="3FAB5CFB">
      <w:numFmt w:val="bullet"/>
      <w:lvlText w:val="□"/>
      <w:lvlJc w:val="left"/>
      <w:pPr>
        <w:ind w:left="420" w:hanging="420"/>
      </w:pPr>
      <w:rPr>
        <w:rFonts w:hint="eastAsia" w:ascii="ＭＳ Ｐゴシック" w:hAnsi="ＭＳ Ｐゴシック" w:eastAsia="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1"/>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paragraph" w:styleId="18">
    <w:name w:val="Balloon Text"/>
    <w:basedOn w:val="0"/>
    <w:next w:val="18"/>
    <w:link w:val="0"/>
    <w:uiPriority w:val="0"/>
    <w:semiHidden/>
    <w:rPr>
      <w:rFonts w:asciiTheme="majorHAnsi" w:hAnsiTheme="majorHAnsi" w:eastAsiaTheme="majorEastAsia"/>
      <w:sz w:val="18"/>
    </w:rPr>
  </w:style>
  <w:style w:type="paragraph" w:styleId="19">
    <w:name w:val="List Paragraph"/>
    <w:basedOn w:val="0"/>
    <w:next w:val="19"/>
    <w:link w:val="0"/>
    <w:uiPriority w:val="0"/>
    <w:qFormat/>
    <w:pPr>
      <w:ind w:left="400" w:leftChars="400"/>
    </w:pPr>
  </w:style>
  <w:style w:type="paragraph" w:styleId="20" w:customStyle="1">
    <w:name w:val="見出しORG"/>
    <w:basedOn w:val="1"/>
    <w:next w:val="20"/>
    <w:link w:val="0"/>
    <w:uiPriority w:val="0"/>
    <w:qFormat/>
    <w:rPr>
      <w:rFonts w:ascii="BIZ UDPゴシック" w:hAnsi="BIZ UDPゴシック" w:eastAsia="BIZ UDPゴシック"/>
      <w:b w:val="1"/>
      <w:sz w:val="24"/>
      <w:shd w:val="pct15" w:color="auto" w:fill="auto"/>
    </w:rPr>
  </w:style>
  <w:style w:type="character" w:styleId="21" w:customStyle="1">
    <w:name w:val="見出し 1 (文字)"/>
    <w:basedOn w:val="10"/>
    <w:next w:val="21"/>
    <w:link w:val="1"/>
    <w:uiPriority w:val="0"/>
    <w:rPr>
      <w:rFonts w:asciiTheme="majorHAnsi" w:hAnsiTheme="majorHAnsi" w:eastAsiaTheme="majorEastAsia"/>
      <w:sz w:val="24"/>
    </w:rPr>
  </w:style>
  <w:style w:type="paragraph" w:styleId="22">
    <w:name w:val="No Spacing"/>
    <w:next w:val="22"/>
    <w:link w:val="0"/>
    <w:uiPriority w:val="0"/>
    <w:qFormat/>
    <w:pPr>
      <w:widowControl w:val="0"/>
      <w:jc w:val="both"/>
    </w:pPr>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1420</TotalTime>
  <Pages>2</Pages>
  <Words>43</Words>
  <Characters>1343</Characters>
  <Application>JUST Note</Application>
  <Lines>235</Lines>
  <Paragraphs>72</Paragraphs>
  <Company>HP</Company>
  <CharactersWithSpaces>1358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土浦市</cp:lastModifiedBy>
  <cp:lastPrinted>2025-07-17T05:05:20Z</cp:lastPrinted>
  <dcterms:created xsi:type="dcterms:W3CDTF">2025-07-09T00:49:00Z</dcterms:created>
  <dcterms:modified xsi:type="dcterms:W3CDTF">2026-02-12T00:31:06Z</dcterms:modified>
  <cp:revision>138</cp:revision>
</cp:coreProperties>
</file>