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79" w:hanging="179" w:hangingChars="94"/>
        <w:jc w:val="center"/>
        <w:rPr>
          <w:rFonts w:hint="default" w:ascii="ＭＳ 明朝" w:hAnsi="ＭＳ 明朝" w:eastAsia="ＭＳ 明朝"/>
          <w:b w:val="0"/>
        </w:rPr>
      </w:pPr>
      <w:r>
        <w:rPr>
          <w:rFonts w:hint="eastAsia"/>
        </w:rPr>
        <w:drawing>
          <wp:anchor distT="0" distB="0" distL="203200" distR="203200" simplePos="0" relativeHeight="2" behindDoc="0" locked="0" layoutInCell="1" hidden="0" allowOverlap="1">
            <wp:simplePos x="0" y="0"/>
            <wp:positionH relativeFrom="column">
              <wp:posOffset>4196715</wp:posOffset>
            </wp:positionH>
            <wp:positionV relativeFrom="paragraph">
              <wp:posOffset>-191135</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733425" cy="704850"/>
                    </a:xfrm>
                    <a:prstGeom prst="rect">
                      <a:avLst/>
                    </a:prstGeom>
                  </pic:spPr>
                </pic:pic>
              </a:graphicData>
            </a:graphic>
          </wp:anchor>
        </w:drawing>
      </w:r>
      <w:r>
        <w:rPr>
          <w:rFonts w:hint="eastAsia" w:ascii="ＭＳ 明朝" w:hAnsi="ＭＳ 明朝" w:eastAsia="ＭＳ 明朝"/>
          <w:b w:val="0"/>
          <w:sz w:val="28"/>
        </w:rPr>
        <w:t>工事請負契約書</w:t>
      </w:r>
    </w:p>
    <w:p>
      <w:pPr>
        <w:pStyle w:val="0"/>
        <w:spacing w:line="340" w:lineRule="exact"/>
        <w:ind w:left="179" w:hanging="179" w:hangingChars="94"/>
        <w:jc w:val="center"/>
        <w:rPr>
          <w:rFonts w:hint="default" w:ascii="ＭＳ 明朝" w:hAnsi="ＭＳ 明朝" w:eastAsia="ＭＳ 明朝"/>
          <w:b w:val="0"/>
        </w:rPr>
      </w:pP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１</w:t>
      </w:r>
      <w:r>
        <w:rPr>
          <w:rFonts w:hint="eastAsia"/>
        </w:rPr>
        <w:t xml:space="preserve">  </w:t>
      </w:r>
      <w:r>
        <w:rPr>
          <w:rFonts w:hint="eastAsia" w:ascii="ＭＳ 明朝" w:hAnsi="ＭＳ 明朝" w:eastAsia="ＭＳ 明朝"/>
          <w:b w:val="0"/>
          <w:sz w:val="21"/>
        </w:rPr>
        <w:t>工事番号及び</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　　工事件名</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２　工事場所　　土浦市　　　　地内</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３　工事期間　　自　　　年　　　月　　　日</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　　　　　　　　至　　　年　　　月　　　日　　　　　日間</w:t>
      </w:r>
    </w:p>
    <w:p>
      <w:pPr>
        <w:pStyle w:val="0"/>
        <w:spacing w:line="360" w:lineRule="auto"/>
        <w:ind w:left="179" w:hanging="179" w:hangingChars="94"/>
        <w:jc w:val="left"/>
        <w:rPr>
          <w:rFonts w:hint="default" w:ascii="ＭＳ 明朝" w:hAnsi="ＭＳ 明朝" w:eastAsia="ＭＳ 明朝"/>
          <w:b w:val="0"/>
          <w:sz w:val="28"/>
        </w:rPr>
      </w:pPr>
      <w:r>
        <w:rPr>
          <w:rFonts w:hint="eastAsia" w:ascii="ＭＳ 明朝" w:hAnsi="ＭＳ 明朝" w:eastAsia="ＭＳ 明朝"/>
          <w:b w:val="0"/>
          <w:sz w:val="28"/>
        </w:rPr>
        <w:t>４　請負代金額　金　　　　　　円</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　（うち取引費係る消費税及び地方消費税の額　　　　円）</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５　前払金</w:t>
      </w:r>
      <w:r>
        <w:rPr>
          <w:rFonts w:hint="eastAsia" w:ascii="ＭＳ 明朝" w:hAnsi="ＭＳ 明朝" w:eastAsia="ＭＳ 明朝"/>
          <w:b w:val="0"/>
          <w:sz w:val="21"/>
        </w:rPr>
        <w:t xml:space="preserve"> </w:t>
      </w:r>
      <w:r>
        <w:rPr>
          <w:rFonts w:hint="eastAsia" w:ascii="ＭＳ 明朝" w:hAnsi="ＭＳ 明朝" w:eastAsia="ＭＳ 明朝"/>
          <w:b w:val="0"/>
          <w:sz w:val="21"/>
        </w:rPr>
        <w:t>なし</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６　部分払　</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７　契約保証金　免除　</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８　建設発生土の搬出先等　仕様書に定める通り</w:t>
      </w:r>
    </w:p>
    <w:p>
      <w:pPr>
        <w:pStyle w:val="0"/>
        <w:spacing w:line="340" w:lineRule="exact"/>
        <w:ind w:left="179" w:hanging="179" w:hangingChars="94"/>
        <w:jc w:val="left"/>
        <w:rPr>
          <w:rFonts w:hint="default" w:ascii="ＭＳ 明朝" w:hAnsi="ＭＳ 明朝" w:eastAsia="ＭＳ 明朝"/>
          <w:b w:val="0"/>
          <w:sz w:val="21"/>
        </w:rPr>
      </w:pPr>
    </w:p>
    <w:p>
      <w:pPr>
        <w:pStyle w:val="0"/>
        <w:spacing w:line="340" w:lineRule="exact"/>
        <w:ind w:left="179" w:hanging="179" w:hangingChars="94"/>
        <w:jc w:val="left"/>
        <w:rPr>
          <w:rFonts w:hint="default" w:ascii="ＭＳ 明朝" w:hAnsi="ＭＳ 明朝" w:eastAsia="ＭＳ 明朝"/>
          <w:b w:val="0"/>
          <w:sz w:val="21"/>
        </w:rPr>
      </w:pPr>
    </w:p>
    <w:p>
      <w:pPr>
        <w:pStyle w:val="0"/>
        <w:spacing w:line="340" w:lineRule="exact"/>
        <w:ind w:left="194" w:leftChars="94" w:firstLine="226" w:firstLineChars="100"/>
        <w:jc w:val="left"/>
        <w:rPr>
          <w:rFonts w:hint="default" w:ascii="ＭＳ 明朝" w:hAnsi="ＭＳ 明朝" w:eastAsia="ＭＳ 明朝"/>
          <w:b w:val="0"/>
          <w:sz w:val="21"/>
        </w:rPr>
      </w:pPr>
      <w:r>
        <w:rPr>
          <w:rFonts w:hint="eastAsia" w:ascii="ＭＳ 明朝" w:hAnsi="ＭＳ 明朝" w:eastAsia="ＭＳ 明朝"/>
          <w:sz w:val="21"/>
        </w:rPr>
        <w:t>上記の工事について、発注者と受注者とは、各々の対等な立場における合意に基づいて、次の条項によって公正な請負契約を締結し、信義に従って誠実にこれを履行するものとする。</w:t>
      </w:r>
    </w:p>
    <w:p>
      <w:pPr>
        <w:pStyle w:val="0"/>
        <w:spacing w:line="340" w:lineRule="exact"/>
        <w:ind w:left="194" w:leftChars="94" w:firstLine="226" w:firstLineChars="100"/>
        <w:jc w:val="left"/>
        <w:rPr>
          <w:rFonts w:hint="eastAsia" w:ascii="ＭＳ 明朝" w:hAnsi="ＭＳ 明朝" w:eastAsia="ＭＳ 明朝"/>
          <w:b w:val="0"/>
          <w:sz w:val="21"/>
        </w:rPr>
      </w:pPr>
      <w:r>
        <w:rPr>
          <w:rFonts w:hint="eastAsia" w:ascii="ＭＳ 明朝" w:hAnsi="ＭＳ 明朝" w:eastAsia="ＭＳ 明朝"/>
          <w:b w:val="0"/>
          <w:sz w:val="21"/>
        </w:rPr>
        <w:t>この契約締結の証として、紙による契約の場合は本書２通を作成し、当事者記名押印のうえ各自１通を保有する。</w:t>
      </w:r>
    </w:p>
    <w:p>
      <w:pPr>
        <w:pStyle w:val="0"/>
        <w:spacing w:line="340" w:lineRule="exact"/>
        <w:ind w:left="194" w:leftChars="94"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電子契約の場合は、本書を電磁的記録により作成し、当事者合意の上、電子署名を行い、それぞれ当該電磁的記録を保有する。</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79" w:hanging="179" w:hangingChars="94"/>
        <w:jc w:val="left"/>
        <w:rPr>
          <w:rFonts w:hint="eastAsia" w:ascii="ＭＳ 明朝" w:hAnsi="ＭＳ 明朝" w:eastAsia="ＭＳ 明朝"/>
          <w:b w:val="0"/>
          <w:sz w:val="21"/>
        </w:rPr>
      </w:pPr>
      <w:r>
        <w:rPr>
          <w:rFonts w:hint="eastAsia" w:ascii="ＭＳ 明朝" w:hAnsi="ＭＳ 明朝" w:eastAsia="ＭＳ 明朝"/>
          <w:b w:val="0"/>
          <w:sz w:val="21"/>
        </w:rPr>
        <w:t>令和</w:t>
      </w:r>
      <w:r>
        <w:rPr>
          <w:rFonts w:hint="eastAsia" w:ascii="ＭＳ 明朝" w:hAnsi="ＭＳ 明朝" w:eastAsia="ＭＳ 明朝"/>
          <w:b w:val="0"/>
          <w:sz w:val="21"/>
        </w:rPr>
        <w:t xml:space="preserve"> </w:t>
      </w:r>
      <w:r>
        <w:rPr>
          <w:rFonts w:hint="eastAsia" w:ascii="ＭＳ 明朝" w:hAnsi="ＭＳ 明朝" w:eastAsia="ＭＳ 明朝"/>
          <w:b w:val="0"/>
          <w:sz w:val="21"/>
        </w:rPr>
        <w:t>　年　月　日</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発注者</w:t>
      </w:r>
      <w:r>
        <w:rPr>
          <w:rFonts w:hint="eastAsia" w:ascii="ＭＳ 明朝" w:hAnsi="ＭＳ 明朝" w:eastAsia="ＭＳ 明朝"/>
          <w:b w:val="0"/>
          <w:sz w:val="21"/>
        </w:rPr>
        <w:tab/>
      </w:r>
      <w:r>
        <w:rPr>
          <w:rFonts w:hint="eastAsia" w:ascii="ＭＳ 明朝" w:hAnsi="ＭＳ 明朝" w:eastAsia="ＭＳ 明朝"/>
          <w:b w:val="0"/>
          <w:sz w:val="21"/>
        </w:rPr>
        <w:t>所　　在　茨城県土浦市大和町９－１</w:t>
      </w:r>
    </w:p>
    <w:p>
      <w:pPr>
        <w:pStyle w:val="0"/>
        <w:spacing w:line="340" w:lineRule="exact"/>
        <w:ind w:left="194" w:leftChars="94" w:firstLine="1582" w:firstLineChars="700"/>
        <w:jc w:val="left"/>
        <w:rPr>
          <w:rFonts w:hint="eastAsia" w:ascii="ＭＳ 明朝" w:hAnsi="ＭＳ 明朝" w:eastAsia="ＭＳ 明朝"/>
          <w:b w:val="0"/>
          <w:sz w:val="21"/>
        </w:rPr>
      </w:pPr>
      <w:r>
        <w:rPr>
          <w:rFonts w:hint="eastAsia" w:ascii="ＭＳ 明朝" w:hAnsi="ＭＳ 明朝" w:eastAsia="ＭＳ 明朝"/>
          <w:b w:val="0"/>
          <w:sz w:val="21"/>
        </w:rPr>
        <w:tab/>
      </w:r>
      <w:r>
        <w:rPr>
          <w:rFonts w:hint="eastAsia" w:ascii="ＭＳ 明朝" w:hAnsi="ＭＳ 明朝" w:eastAsia="ＭＳ 明朝"/>
          <w:b w:val="0"/>
          <w:sz w:val="21"/>
        </w:rPr>
        <w:t>代表者名　土浦市　市長　安藤　真理子</w:t>
      </w:r>
      <w:r>
        <w:rPr>
          <w:rFonts w:hint="eastAsia" w:ascii="ＭＳ 明朝" w:hAnsi="ＭＳ 明朝" w:eastAsia="ＭＳ 明朝"/>
          <w:b w:val="0"/>
          <w:sz w:val="21"/>
        </w:rPr>
        <w:tab/>
      </w:r>
      <w:r>
        <w:rPr>
          <w:rFonts w:hint="eastAsia" w:ascii="ＭＳ 明朝" w:hAnsi="ＭＳ 明朝" w:eastAsia="ＭＳ 明朝"/>
          <w:b w:val="0"/>
          <w:sz w:val="21"/>
        </w:rPr>
        <w:t>　印</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94" w:leftChars="94" w:firstLine="2034" w:firstLineChars="900"/>
        <w:jc w:val="left"/>
        <w:rPr>
          <w:rFonts w:hint="eastAsia" w:ascii="ＭＳ 明朝" w:hAnsi="ＭＳ 明朝" w:eastAsia="ＭＳ 明朝"/>
          <w:b w:val="0"/>
          <w:sz w:val="21"/>
        </w:rPr>
      </w:pPr>
      <w:r>
        <w:rPr>
          <w:rFonts w:hint="eastAsia" w:ascii="ＭＳ 明朝" w:hAnsi="ＭＳ 明朝" w:eastAsia="ＭＳ 明朝"/>
          <w:b w:val="0"/>
          <w:sz w:val="21"/>
        </w:rPr>
        <w:t>所　　在</w:t>
      </w: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受注者　　　商　　号</w:t>
      </w:r>
    </w:p>
    <w:p>
      <w:pPr>
        <w:pStyle w:val="0"/>
        <w:spacing w:line="340" w:lineRule="exact"/>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ab/>
      </w:r>
      <w:r>
        <w:rPr>
          <w:rFonts w:hint="eastAsia" w:ascii="ＭＳ 明朝" w:hAnsi="ＭＳ 明朝" w:eastAsia="ＭＳ 明朝"/>
          <w:b w:val="0"/>
          <w:sz w:val="21"/>
        </w:rPr>
        <w:t>　　　　　　　　　代表者名</w:t>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印</w:t>
      </w:r>
    </w:p>
    <w:p>
      <w:pPr>
        <w:rPr>
          <w:rFonts w:hint="eastAsia"/>
        </w:rPr>
        <w:sectPr>
          <w:headerReference r:id="rId5" w:type="default"/>
          <w:footerReference r:id="rId6" w:type="even"/>
          <w:footerReference r:id="rId7" w:type="default"/>
          <w:type w:val="nextColumn"/>
          <w:pgSz w:w="11905" w:h="16838"/>
          <w:pgMar w:top="1701" w:right="1984" w:bottom="1984" w:left="1984" w:header="454" w:footer="635" w:gutter="0"/>
          <w:cols w:space="720"/>
          <w:textDirection w:val="lrTb"/>
          <w:docGrid w:linePitch="258"/>
        </w:sectPr>
      </w:pPr>
    </w:p>
    <w:p>
      <w:pPr>
        <w:pStyle w:val="0"/>
        <w:overflowPunct w:val="0"/>
        <w:textAlignment w:val="baseline"/>
        <w:rPr>
          <w:rFonts w:hint="default" w:ascii="ＭＳ 明朝" w:hAnsi="ＭＳ 明朝"/>
          <w:color w:val="000000"/>
          <w:spacing w:val="2"/>
          <w:kern w:val="0"/>
        </w:rPr>
      </w:pPr>
    </w:p>
    <w:p>
      <w:pPr>
        <w:pStyle w:val="0"/>
        <w:overflowPunct w:val="0"/>
        <w:textAlignment w:val="baseline"/>
        <w:rPr>
          <w:rFonts w:hint="default" w:ascii="ＭＳ 明朝" w:hAnsi="ＭＳ 明朝"/>
          <w:color w:val="000000"/>
          <w:spacing w:val="2"/>
          <w:kern w:val="0"/>
        </w:rPr>
      </w:pPr>
    </w:p>
    <w:p>
      <w:pPr>
        <w:pStyle w:val="0"/>
        <w:overflowPunct w:val="0"/>
        <w:jc w:val="center"/>
        <w:textAlignment w:val="baseline"/>
        <w:rPr>
          <w:rFonts w:hint="default" w:ascii="ＭＳ 明朝" w:hAnsi="ＭＳ 明朝"/>
          <w:color w:val="000000"/>
          <w:spacing w:val="2"/>
          <w:kern w:val="0"/>
        </w:rPr>
      </w:pPr>
      <w:r>
        <w:rPr>
          <w:rFonts w:hint="eastAsia" w:ascii="Times New Roman" w:hAnsi="Times New Roman"/>
          <w:color w:val="000000"/>
          <w:kern w:val="0"/>
          <w:sz w:val="24"/>
        </w:rPr>
        <w:t>仲　裁　合　意　書</w:t>
      </w:r>
    </w:p>
    <w:p>
      <w:pPr>
        <w:pStyle w:val="0"/>
        <w:overflowPunct w:val="0"/>
        <w:textAlignment w:val="baseline"/>
        <w:rPr>
          <w:rFonts w:hint="default" w:ascii="ＭＳ 明朝" w:hAnsi="ＭＳ 明朝"/>
          <w:color w:val="000000"/>
          <w:spacing w:val="2"/>
          <w:kern w:val="0"/>
        </w:rPr>
      </w:pPr>
    </w:p>
    <w:p>
      <w:pPr>
        <w:pStyle w:val="0"/>
        <w:overflowPunct w:val="0"/>
        <w:ind w:firstLine="206" w:firstLineChars="100"/>
        <w:textAlignment w:val="baseline"/>
        <w:rPr>
          <w:rFonts w:hint="default" w:ascii="ＭＳ 明朝" w:hAnsi="ＭＳ 明朝"/>
          <w:color w:val="000000"/>
          <w:spacing w:val="2"/>
          <w:kern w:val="0"/>
        </w:rPr>
      </w:pPr>
      <w:r>
        <w:rPr>
          <w:rFonts w:hint="eastAsia" w:ascii="Times New Roman" w:hAnsi="Times New Roman"/>
          <w:color w:val="000000"/>
          <w:kern w:val="0"/>
        </w:rPr>
        <w:t>この工事の請負契約に関する紛争については、発注者及び受注者は、建設業法に規定する下記の建設工事紛争審査会の仲裁に付し、その仲裁判断に服する。</w:t>
      </w:r>
    </w:p>
    <w:p>
      <w:pPr>
        <w:pStyle w:val="0"/>
        <w:overflowPunct w:val="0"/>
        <w:textAlignment w:val="baseline"/>
        <w:rPr>
          <w:rFonts w:hint="default" w:ascii="ＭＳ 明朝" w:hAnsi="ＭＳ 明朝"/>
          <w:color w:val="000000"/>
          <w:spacing w:val="2"/>
          <w:kern w:val="0"/>
        </w:rPr>
      </w:pPr>
    </w:p>
    <w:p>
      <w:pPr>
        <w:pStyle w:val="0"/>
        <w:overflowPunct w:val="0"/>
        <w:ind w:right="424" w:firstLine="840" w:firstLineChars="400"/>
        <w:textAlignment w:val="baseline"/>
        <w:rPr>
          <w:rFonts w:hint="default" w:ascii="ＭＳ 明朝" w:hAnsi="ＭＳ 明朝"/>
          <w:color w:val="000000"/>
          <w:spacing w:val="2"/>
          <w:kern w:val="0"/>
        </w:rPr>
      </w:pPr>
      <w:r>
        <w:rPr>
          <w:rFonts w:hint="eastAsia" w:ascii="Times New Roman" w:hAnsi="Times New Roman"/>
          <w:color w:val="000000"/>
          <w:kern w:val="0"/>
        </w:rPr>
        <w:t>管轄審査会名　　　　　　茨城県建設工事紛争審査会</w:t>
      </w:r>
    </w:p>
    <w:p>
      <w:pPr>
        <w:pStyle w:val="0"/>
        <w:overflowPunct w:val="0"/>
        <w:ind w:left="830" w:leftChars="300" w:hanging="200" w:hangingChars="100"/>
        <w:textAlignment w:val="baseline"/>
        <w:rPr>
          <w:rFonts w:hint="default" w:ascii="ＭＳ 明朝" w:hAnsi="ＭＳ 明朝"/>
          <w:color w:val="000000"/>
          <w:spacing w:val="2"/>
          <w:kern w:val="0"/>
        </w:rPr>
      </w:pPr>
      <w:r>
        <w:rPr>
          <w:rFonts w:hint="eastAsia" w:ascii="Times New Roman" w:hAnsi="Times New Roman"/>
          <w:color w:val="000000"/>
          <w:kern w:val="0"/>
          <w:sz w:val="20"/>
        </w:rPr>
        <w:t>［管轄審査会名が記入されていない場合は建設業法第二十五条の九第一項又は第二項に定める建設工事紛争審査会を管轄審査会とする。］</w:t>
      </w:r>
    </w:p>
    <w:p>
      <w:pPr>
        <w:pStyle w:val="0"/>
        <w:overflowPunct w:val="0"/>
        <w:ind w:left="636" w:hanging="212"/>
        <w:textAlignment w:val="baseline"/>
        <w:rPr>
          <w:rFonts w:hint="default" w:ascii="ＭＳ 明朝" w:hAnsi="ＭＳ 明朝"/>
          <w:color w:val="000000"/>
          <w:spacing w:val="2"/>
          <w:kern w:val="0"/>
        </w:rPr>
      </w:pPr>
    </w:p>
    <w:p>
      <w:pPr>
        <w:pStyle w:val="0"/>
        <w:overflowPunct w:val="0"/>
        <w:ind w:right="824" w:rightChars="400"/>
        <w:textAlignment w:val="baseline"/>
        <w:rPr>
          <w:rFonts w:hint="default" w:ascii="ＭＳ 明朝" w:hAnsi="ＭＳ 明朝"/>
          <w:color w:val="000000"/>
          <w:spacing w:val="2"/>
          <w:kern w:val="0"/>
        </w:rPr>
      </w:pPr>
    </w:p>
    <w:p>
      <w:pPr>
        <w:pStyle w:val="0"/>
        <w:overflowPunct w:val="0"/>
        <w:ind w:right="824" w:rightChars="400"/>
        <w:textAlignment w:val="baseline"/>
        <w:rPr>
          <w:rFonts w:hint="default" w:ascii="ＭＳ 明朝" w:hAnsi="ＭＳ 明朝"/>
          <w:color w:val="000000"/>
          <w:spacing w:val="2"/>
          <w:kern w:val="0"/>
        </w:rPr>
      </w:pPr>
      <w:r>
        <w:rPr>
          <w:rFonts w:hint="eastAsia" w:ascii="Times New Roman" w:hAnsi="Times New Roman"/>
          <w:color w:val="000000"/>
          <w:kern w:val="0"/>
        </w:rPr>
        <w:t>令和　　年　　月　　日</w:t>
      </w:r>
    </w:p>
    <w:p>
      <w:pPr>
        <w:pStyle w:val="0"/>
        <w:overflowPunct w:val="0"/>
        <w:ind w:right="824" w:rightChars="400"/>
        <w:textAlignment w:val="baseline"/>
        <w:rPr>
          <w:rFonts w:hint="default" w:ascii="ＭＳ 明朝" w:hAnsi="ＭＳ 明朝"/>
          <w:color w:val="000000"/>
          <w:spacing w:val="2"/>
          <w:kern w:val="0"/>
        </w:rPr>
      </w:pPr>
    </w:p>
    <w:p>
      <w:pPr>
        <w:pStyle w:val="0"/>
        <w:overflowPunct w:val="0"/>
        <w:ind w:right="824" w:rightChars="400"/>
        <w:textAlignment w:val="baseline"/>
        <w:rPr>
          <w:rFonts w:hint="default" w:ascii="ＭＳ 明朝" w:hAnsi="ＭＳ 明朝"/>
          <w:color w:val="000000"/>
          <w:spacing w:val="2"/>
          <w:kern w:val="0"/>
        </w:rPr>
      </w:pP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発注者</w:t>
      </w:r>
      <w:r>
        <w:rPr>
          <w:rFonts w:hint="eastAsia" w:ascii="ＭＳ 明朝" w:hAnsi="ＭＳ 明朝" w:eastAsia="ＭＳ 明朝"/>
          <w:b w:val="0"/>
          <w:sz w:val="21"/>
        </w:rPr>
        <w:tab/>
      </w:r>
      <w:r>
        <w:rPr>
          <w:rFonts w:hint="eastAsia" w:ascii="ＭＳ 明朝" w:hAnsi="ＭＳ 明朝" w:eastAsia="ＭＳ 明朝"/>
          <w:b w:val="0"/>
          <w:sz w:val="21"/>
        </w:rPr>
        <w:t>所　　在　茨城県土浦市大和町９番１号</w:t>
      </w:r>
    </w:p>
    <w:p>
      <w:pPr>
        <w:pStyle w:val="0"/>
        <w:spacing w:line="340" w:lineRule="exact"/>
        <w:ind w:left="194" w:leftChars="94" w:firstLine="1582" w:firstLineChars="700"/>
        <w:jc w:val="left"/>
        <w:rPr>
          <w:rFonts w:hint="eastAsia" w:ascii="ＭＳ 明朝" w:hAnsi="ＭＳ 明朝" w:eastAsia="ＭＳ 明朝"/>
          <w:b w:val="0"/>
          <w:sz w:val="21"/>
        </w:rPr>
      </w:pPr>
      <w:r>
        <w:rPr>
          <w:rFonts w:hint="eastAsia" w:ascii="ＭＳ 明朝" w:hAnsi="ＭＳ 明朝" w:eastAsia="ＭＳ 明朝"/>
          <w:b w:val="0"/>
          <w:sz w:val="21"/>
        </w:rPr>
        <w:tab/>
      </w:r>
      <w:r>
        <w:rPr>
          <w:rFonts w:hint="eastAsia" w:ascii="ＭＳ 明朝" w:hAnsi="ＭＳ 明朝" w:eastAsia="ＭＳ 明朝"/>
          <w:b w:val="0"/>
          <w:sz w:val="21"/>
        </w:rPr>
        <w:t>代表者名　土浦市　市長　安藤　真理子</w:t>
      </w:r>
      <w:r>
        <w:rPr>
          <w:rFonts w:hint="eastAsia" w:ascii="ＭＳ 明朝" w:hAnsi="ＭＳ 明朝" w:eastAsia="ＭＳ 明朝"/>
          <w:b w:val="0"/>
          <w:sz w:val="21"/>
        </w:rPr>
        <w:tab/>
      </w:r>
      <w:r>
        <w:rPr>
          <w:rFonts w:hint="eastAsia" w:ascii="ＭＳ 明朝" w:hAnsi="ＭＳ 明朝" w:eastAsia="ＭＳ 明朝"/>
          <w:b w:val="0"/>
          <w:sz w:val="21"/>
        </w:rPr>
        <w:t>印</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94" w:leftChars="94" w:firstLine="2034" w:firstLineChars="900"/>
        <w:jc w:val="left"/>
        <w:rPr>
          <w:rFonts w:hint="eastAsia" w:ascii="ＭＳ 明朝" w:hAnsi="ＭＳ 明朝" w:eastAsia="ＭＳ 明朝"/>
          <w:b w:val="0"/>
          <w:sz w:val="21"/>
        </w:rPr>
      </w:pPr>
      <w:r>
        <w:rPr>
          <w:rFonts w:hint="eastAsia" w:ascii="ＭＳ 明朝" w:hAnsi="ＭＳ 明朝" w:eastAsia="ＭＳ 明朝"/>
          <w:b w:val="0"/>
          <w:sz w:val="21"/>
        </w:rPr>
        <w:t>所　　在</w:t>
      </w: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受注者　　　商　　号</w:t>
      </w:r>
    </w:p>
    <w:p>
      <w:pPr>
        <w:pStyle w:val="0"/>
        <w:overflowPunct w:val="0"/>
        <w:textAlignment w:val="baseline"/>
        <w:rPr>
          <w:rFonts w:hint="default" w:ascii="ＭＳ 明朝" w:hAnsi="ＭＳ 明朝"/>
          <w:color w:val="000000"/>
          <w:spacing w:val="2"/>
          <w:kern w:val="0"/>
        </w:rPr>
      </w:pPr>
      <w:r>
        <w:rPr>
          <w:rFonts w:hint="eastAsia" w:ascii="ＭＳ 明朝" w:hAnsi="ＭＳ 明朝" w:eastAsia="ＭＳ 明朝"/>
          <w:b w:val="0"/>
          <w:sz w:val="21"/>
        </w:rPr>
        <w:tab/>
      </w:r>
      <w:r>
        <w:rPr>
          <w:rFonts w:hint="eastAsia" w:ascii="ＭＳ 明朝" w:hAnsi="ＭＳ 明朝" w:eastAsia="ＭＳ 明朝"/>
          <w:b w:val="0"/>
          <w:sz w:val="21"/>
        </w:rPr>
        <w:t>　　　　　　　代表者名</w:t>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　　　　　　印</w:t>
      </w:r>
    </w:p>
    <w:p>
      <w:pPr>
        <w:pStyle w:val="0"/>
        <w:overflowPunct w:val="0"/>
        <w:textAlignment w:val="baseline"/>
        <w:rPr>
          <w:rFonts w:hint="default" w:ascii="ＭＳ 明朝" w:hAnsi="ＭＳ 明朝"/>
          <w:color w:val="000000"/>
          <w:spacing w:val="2"/>
          <w:kern w:val="0"/>
        </w:rPr>
      </w:pPr>
      <w:r>
        <w:rPr>
          <w:rFonts w:hint="default" w:ascii="Times New Roman" w:hAnsi="Times New Roman"/>
          <w:color w:val="000000"/>
          <w:kern w:val="0"/>
        </w:rPr>
        <w:br w:type="column"/>
      </w:r>
      <w:r>
        <w:rPr>
          <w:rFonts w:hint="eastAsia" w:ascii="Times New Roman" w:hAnsi="Times New Roman"/>
          <w:color w:val="000000"/>
          <w:kern w:val="0"/>
        </w:rPr>
        <w:t>〔裏面〕</w:t>
      </w:r>
    </w:p>
    <w:p>
      <w:pPr>
        <w:pStyle w:val="0"/>
        <w:overflowPunct w:val="0"/>
        <w:jc w:val="center"/>
        <w:textAlignment w:val="baseline"/>
        <w:rPr>
          <w:rFonts w:hint="default" w:ascii="ＭＳ 明朝" w:hAnsi="ＭＳ 明朝"/>
          <w:color w:val="000000"/>
          <w:spacing w:val="2"/>
          <w:kern w:val="0"/>
        </w:rPr>
      </w:pPr>
      <w:r>
        <w:rPr>
          <w:rFonts w:hint="eastAsia" w:ascii="Times New Roman" w:hAnsi="Times New Roman"/>
          <w:color w:val="000000"/>
          <w:kern w:val="0"/>
        </w:rPr>
        <w:t>仲裁合意書について</w:t>
      </w:r>
    </w:p>
    <w:p>
      <w:pPr>
        <w:pStyle w:val="0"/>
        <w:overflowPunct w:val="0"/>
        <w:textAlignment w:val="baseline"/>
        <w:rPr>
          <w:rFonts w:hint="default" w:ascii="ＭＳ 明朝" w:hAnsi="ＭＳ 明朝"/>
          <w:color w:val="000000"/>
          <w:spacing w:val="2"/>
          <w:kern w:val="0"/>
        </w:rPr>
      </w:pPr>
    </w:p>
    <w:p>
      <w:pPr>
        <w:pStyle w:val="0"/>
        <w:overflowPunct w:val="0"/>
        <w:textAlignment w:val="baseline"/>
        <w:rPr>
          <w:rFonts w:hint="default" w:ascii="ＭＳ 明朝" w:hAnsi="ＭＳ 明朝"/>
          <w:color w:val="000000"/>
          <w:spacing w:val="2"/>
          <w:kern w:val="0"/>
        </w:rPr>
      </w:pPr>
      <w:r>
        <w:rPr>
          <w:rFonts w:hint="default" w:ascii="ＭＳ 明朝" w:hAnsi="ＭＳ 明朝"/>
          <w:color w:val="000000"/>
          <w:kern w:val="0"/>
        </w:rPr>
        <w:t>(</w:t>
      </w:r>
      <w:r>
        <w:rPr>
          <w:rFonts w:hint="eastAsia" w:ascii="Times New Roman" w:hAnsi="Times New Roman"/>
          <w:color w:val="000000"/>
          <w:kern w:val="0"/>
        </w:rPr>
        <w:t>一</w:t>
      </w:r>
      <w:r>
        <w:rPr>
          <w:rFonts w:hint="default" w:ascii="ＭＳ 明朝" w:hAnsi="ＭＳ 明朝"/>
          <w:color w:val="000000"/>
          <w:kern w:val="0"/>
        </w:rPr>
        <w:t>)</w:t>
      </w:r>
      <w:r>
        <w:rPr>
          <w:rFonts w:hint="eastAsia" w:ascii="Times New Roman" w:hAnsi="Times New Roman"/>
          <w:color w:val="000000"/>
          <w:kern w:val="0"/>
        </w:rPr>
        <w:t>　仲裁合意について</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仲裁合意とは、裁判所への訴訟に代えて、紛争の解決を仲裁人に委ねることを約する当事者間の契約である。</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仲裁手続によってなされる仲裁判断は、裁判上の確定判決と同一の効力を有し、たとえその仲裁判断の内容に不服があっても、その内容を裁判所で争うことはできない。</w:t>
      </w:r>
    </w:p>
    <w:p>
      <w:pPr>
        <w:pStyle w:val="0"/>
        <w:overflowPunct w:val="0"/>
        <w:textAlignment w:val="baseline"/>
        <w:rPr>
          <w:rFonts w:hint="default" w:ascii="ＭＳ 明朝" w:hAnsi="ＭＳ 明朝"/>
          <w:color w:val="000000"/>
          <w:spacing w:val="2"/>
          <w:kern w:val="0"/>
        </w:rPr>
      </w:pPr>
      <w:r>
        <w:rPr>
          <w:rFonts w:hint="default" w:ascii="ＭＳ 明朝" w:hAnsi="ＭＳ 明朝"/>
          <w:color w:val="000000"/>
          <w:kern w:val="0"/>
        </w:rPr>
        <w:t>(</w:t>
      </w:r>
      <w:r>
        <w:rPr>
          <w:rFonts w:hint="eastAsia" w:ascii="Times New Roman" w:hAnsi="Times New Roman"/>
          <w:color w:val="000000"/>
          <w:kern w:val="0"/>
        </w:rPr>
        <w:t>二</w:t>
      </w:r>
      <w:r>
        <w:rPr>
          <w:rFonts w:hint="default" w:ascii="ＭＳ 明朝" w:hAnsi="ＭＳ 明朝"/>
          <w:color w:val="000000"/>
          <w:kern w:val="0"/>
        </w:rPr>
        <w:t>)</w:t>
      </w:r>
      <w:r>
        <w:rPr>
          <w:rFonts w:hint="eastAsia" w:ascii="Times New Roman" w:hAnsi="Times New Roman"/>
          <w:color w:val="000000"/>
          <w:kern w:val="0"/>
        </w:rPr>
        <w:t>　建設工事紛争審査会について</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なお、審査会における仲裁手続は、建設業法に特別の定めがある場合を除き、仲裁法の規定が適用される。</w:t>
      </w:r>
    </w:p>
    <w:p>
      <w:pPr>
        <w:pStyle w:val="0"/>
        <w:rPr>
          <w:rFonts w:hint="default"/>
        </w:rPr>
      </w:pPr>
    </w:p>
    <w:p>
      <w:pPr>
        <w:pStyle w:val="0"/>
        <w:spacing w:line="340" w:lineRule="exact"/>
        <w:ind w:left="179" w:hanging="179" w:hangingChars="94"/>
        <w:rPr>
          <w:rFonts w:hint="default" w:ascii="ＭＳ 明朝" w:hAnsi="ＭＳ 明朝" w:eastAsia="ＭＳ 明朝"/>
          <w:b w:val="1"/>
        </w:rPr>
      </w:pPr>
    </w:p>
    <w:p>
      <w:pPr>
        <w:pStyle w:val="0"/>
        <w:spacing w:line="340" w:lineRule="exact"/>
        <w:ind w:left="179" w:hanging="179" w:hangingChars="94"/>
        <w:rPr>
          <w:rFonts w:hint="default" w:ascii="ＭＳ 明朝" w:hAnsi="ＭＳ 明朝" w:eastAsia="ＭＳ 明朝"/>
          <w:b w:val="1"/>
        </w:rPr>
      </w:pPr>
    </w:p>
    <w:p>
      <w:pPr>
        <w:pStyle w:val="0"/>
        <w:spacing w:line="340" w:lineRule="exact"/>
        <w:ind w:left="179" w:hanging="179" w:hangingChars="94"/>
        <w:rPr>
          <w:rFonts w:hint="default" w:ascii="ＭＳ 明朝" w:hAnsi="ＭＳ 明朝" w:eastAsia="ＭＳ 明朝"/>
          <w:b w:val="1"/>
        </w:rPr>
      </w:pPr>
      <w:r>
        <w:rPr>
          <w:rFonts w:hint="eastAsia"/>
        </w:rPr>
        <w:br w:type="page"/>
      </w:r>
    </w:p>
    <w:p>
      <w:pPr>
        <w:pStyle w:val="0"/>
        <w:spacing w:line="340" w:lineRule="exact"/>
        <w:ind w:left="179" w:hanging="179" w:hangingChars="94"/>
        <w:rPr>
          <w:rFonts w:hint="default" w:ascii="ＭＳ 明朝" w:hAnsi="ＭＳ 明朝" w:eastAsia="ＭＳ 明朝"/>
          <w:b w:val="1"/>
        </w:rPr>
      </w:pP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受注者は、契約書記載の工事を契約書記載の工期内に完成し、工事目的物を発注者に引き渡すものとし、発注者は、その請負代金を支払うものとする。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仮設、施工方法その他工事目的物を完成するために必要な一切の手段（以下「施工方法等」という。）については、この約款及び設計図書に特別の定めがある場合を除き、受注者がその責任において定める。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受注者は、この契約の履行に関して知り得た秘密を漏らしてはならない。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この約款に定める催告、請求、通知、報告、申出、承諾及び解除は、書面により行わなければならない。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1</w:t>
      </w:r>
      <w:r>
        <w:rPr>
          <w:rFonts w:hint="eastAsia" w:ascii="ＭＳ 明朝" w:hAnsi="ＭＳ 明朝" w:eastAsia="ＭＳ 明朝"/>
        </w:rPr>
        <w:t>　この契約に係る訴訟については、日本国の裁判所をもって合意による専属的管轄裁判所とする。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2</w:t>
      </w:r>
      <w:r>
        <w:rPr>
          <w:rFonts w:hint="eastAsia" w:ascii="ＭＳ 明朝" w:hAnsi="ＭＳ 明朝" w:eastAsia="ＭＳ 明朝"/>
        </w:rPr>
        <w:t>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（関連工事の調整）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（請負代金内訳書及び工程表）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　</w:t>
      </w:r>
      <w:r>
        <w:rPr>
          <w:rFonts w:hint="eastAsia" w:ascii="ＭＳ 明朝" w:hAnsi="ＭＳ 明朝" w:eastAsia="ＭＳ 明朝"/>
        </w:rPr>
        <w:t>受注者は、この契約締結後７日以内に設計図書に基づいて、請負代金内訳書（以下「内訳書」という。）及び工程表を作成し、発注者に提出しなければならない。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内訳書には、健康保険、厚生年金保険及び雇用保険に係る法定福利費を明示するものとする。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内訳書及び工程表は、発注者及び受注者を拘束するものではない。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前項の保証に係る契約保証金の額、保証金額又は保険金額（第５項において「保証の額」という。）は、請負代金額の１０分の１以上としなければならない。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受注者が第１項第３号から第５号までのいずれかに掲げる保証を付する場合は、当該保証は第５４条第３項各号に規定する者による契約の解除の場合についても保証するものでなければならない。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請負代金額の変更があった場合には、保証の額が変更後の請負代金額の１０分の１に達するまで、発注者は、保証の額の増額を請求することができ、受注者は、保証の額の減額を請求することができる。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工事目的物並びに工事材料（工場製品を含む。以下同じ。）のうち第１３条第２項の規定による検査に合格したもの及び第３７条第３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（一括委任又は一括下請負の禁止）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受注者は、工事の全部若しくはその主たる部分又は他の部分から独立してその機能を発揮する工作物の工事を一括して第三者に委任し、又は請け負わせてはならない。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（下請負人の通知）</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発注者は、受注者に対して、下請負人の商号又は名称その他必要な事項の通知を請求することができる。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eastAsia" w:ascii="ＭＳ 明朝" w:hAnsi="ＭＳ 明朝" w:eastAsia="ＭＳ 明朝"/>
          <w:b w:val="1"/>
        </w:rPr>
      </w:pPr>
      <w:r>
        <w:rPr>
          <w:rFonts w:hint="eastAsia" w:ascii="ＭＳ 明朝" w:hAnsi="ＭＳ 明朝" w:eastAsia="ＭＳ 明朝"/>
          <w:b w:val="1"/>
        </w:rPr>
        <w:t>（下請負人の健康保険等加入義務等）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第７条の２</w:t>
      </w:r>
      <w:r>
        <w:rPr>
          <w:rFonts w:hint="eastAsia" w:ascii="ＭＳ 明朝" w:hAnsi="ＭＳ 明朝" w:eastAsia="ＭＳ 明朝"/>
        </w:rPr>
        <w:t>　受注者は、次の各号に掲げる届出をしていない建設業者（建設業法（昭和２４年法律第１００号）第２条第３項に規定する建設業者をいい、当該届出の義務がない者を除く。以下「社会保険等未加入建設業者」という。）を下請契約（受注者が直接締結する下請契約に限る。以下この条において同じ。）の相手方としてはならない。</w:t>
      </w:r>
    </w:p>
    <w:p>
      <w:pPr>
        <w:pStyle w:val="0"/>
        <w:spacing w:line="340" w:lineRule="exact"/>
        <w:ind w:left="194"/>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健康保険法（大正１１年法律第７０号）第４８条の規定による届出</w:t>
      </w:r>
    </w:p>
    <w:p>
      <w:pPr>
        <w:pStyle w:val="0"/>
        <w:spacing w:line="340" w:lineRule="exact"/>
        <w:ind w:left="194"/>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厚生年金保険法（昭和２９年法律第１１５号）第２７条の規定による届出</w:t>
      </w:r>
    </w:p>
    <w:p>
      <w:pPr>
        <w:pStyle w:val="0"/>
        <w:spacing w:line="340" w:lineRule="exact"/>
        <w:ind w:left="194"/>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雇用保険法（昭和４９年法律第１１６号）第７条の規定による届出</w:t>
      </w:r>
    </w:p>
    <w:p>
      <w:pPr>
        <w:pStyle w:val="0"/>
        <w:spacing w:line="340" w:lineRule="exact"/>
        <w:ind w:left="0" w:leftChars="0" w:hanging="206" w:hangingChars="100"/>
        <w:rPr>
          <w:rFonts w:hint="eastAsia" w:ascii="ＭＳ 明朝" w:hAnsi="ＭＳ 明朝" w:eastAsia="ＭＳ 明朝"/>
        </w:rPr>
      </w:pPr>
      <w:r>
        <w:rPr>
          <w:rFonts w:hint="eastAsia" w:ascii="ＭＳ 明朝" w:hAnsi="ＭＳ 明朝" w:eastAsia="ＭＳ 明朝"/>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この契約の履行についての受注者又は受注者の現場代理人に対する指示、承諾又は協議</w:t>
      </w:r>
    </w:p>
    <w:p>
      <w:pPr>
        <w:pStyle w:val="0"/>
        <w:spacing w:line="340" w:lineRule="exact"/>
        <w:ind w:left="412" w:hanging="412"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設計図書に基づく工事の施工のための詳細図等の作成及び交付又は受注者が作成した詳細図等の承諾</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設計図書に基づく工程の管理、立会い、工事の施工状況の検査又は工事材料の試験若しくは検査（確認を含む。）</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発注者が監督員を置かないときは、この約款に定める監督員の権限は、発注者に帰属する。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（現場代理人及び主任技術者等）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現場代理人</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主任技術者又は監理技術者（建設業法（昭和２４年法律第１００号）第２６条第２項の規定に該当する場合に監理技術者を、それ以外の場合に主任技術者を設置する。なお、当該工事が同法第２６条第３項の工事の場合は、専任主任技術者又は専任監理技術者でなければならない。ただし、当該工事が同法第２６条第４項の工事にも該当する場合には、監理技術者は、監理技術者資格証の交付を受けた専任の者でなければならない。）</w:t>
      </w:r>
    </w:p>
    <w:p>
      <w:pPr>
        <w:pStyle w:val="0"/>
        <w:spacing w:line="340" w:lineRule="exact"/>
        <w:ind w:left="585" w:hanging="585" w:hangingChars="284"/>
        <w:rPr>
          <w:rFonts w:hint="eastAsia"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監理技術者補佐（建設業法第２６条第３項ただし書に規定する技術者をいう。以下同じ。）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専門技術者（建設業法第２６条の２に規定する技術者をいう。以下同じ。）</w:t>
      </w:r>
    </w:p>
    <w:p>
      <w:pPr>
        <w:pStyle w:val="0"/>
        <w:spacing w:line="340" w:lineRule="exact"/>
        <w:ind w:left="194" w:hanging="194" w:hangingChars="94"/>
        <w:rPr>
          <w:rFonts w:hint="default" w:ascii="ＭＳ 明朝" w:hAnsi="ＭＳ 明朝" w:eastAsia="ＭＳ 明朝"/>
          <w:spacing w:val="0"/>
          <w:sz w:val="21"/>
        </w:rPr>
      </w:pPr>
      <w:r>
        <w:rPr>
          <w:rFonts w:hint="eastAsia" w:ascii="ＭＳ 明朝" w:hAnsi="ＭＳ 明朝" w:eastAsia="ＭＳ 明朝"/>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eastAsia" w:ascii="ＭＳ 明朝" w:hAnsi="ＭＳ 明朝" w:eastAsia="ＭＳ 明朝"/>
          <w:spacing w:val="0"/>
          <w:sz w:val="21"/>
        </w:rPr>
      </w:pPr>
      <w:r>
        <w:rPr>
          <w:rFonts w:hint="eastAsia" w:ascii="ＭＳ 明朝" w:hAnsi="ＭＳ 明朝" w:eastAsia="ＭＳ 明朝"/>
          <w:spacing w:val="0"/>
          <w:sz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spacing w:val="0"/>
          <w:sz w:val="21"/>
        </w:rPr>
        <w:t>４</w:t>
      </w:r>
      <w:r>
        <w:rPr>
          <w:rFonts w:hint="eastAsia" w:ascii="ＭＳ 明朝" w:hAnsi="ＭＳ 明朝" w:eastAsia="ＭＳ 明朝"/>
        </w:rPr>
        <w:t>　受注者は、前項の規定にかかわらず、自己の有する権限のうち現場代理人に委任せず自ら行使しようとするものがあるときは、あらかじめ、当該権限の内容を発注者に通知しなければならない。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現場代理人、監理技術者等（監理技術者、監理技術者補佐又は主任技術者をいう。以下同じ。）及び専門技術者は、これを兼ねることができる。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（工事関係者に関する措置請求）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受注者は、前２項の規定による請求があったときは、当該請求に係る事項について決定し、その結果を請求を受けた日から１０日以内に発注者に通知しなければならない。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（工事材料の品質及び検査等）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工事材料の品質については、設計図書に定めるところによる。設計図書にその品質が明示されていない場合にあっては、中等の品質を有するものとする。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監督員は、受注者から前項の検査を請求されたときは、請求を受けた日から７日以内に応じなければならない。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受注者は、工事現場内に搬入した工事材料を監督員の承諾を受けないで工事現場外に搬出してはならない。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受注者は、前項の規定にかかわらず、第２項の検査の結果不合格と決定された工事材料については、当該決定を受けた日から７日以内に工事現場外に搬出しなければならない。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（監督員の立会い及び工事記録の整備等）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受注者は、設計図書において監督員の立会いの上施工するものと指定された工事については、当該立会いを受けて施工しなければならない。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監督員は、受注者から第１項又は第２項の立会い又は見本検査を請求されたときは、当該請求を受けた日から７日以内に応じなければならない。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第１項、第３項又は前項の場合において、見本検査又は見本若しくは工事写真等の記録の整備に直接要する費用は、受注者の負担とする。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（支給材料及び貸与品）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受注者は、支給材料又は貸与品の引渡しを受けたときは、引渡しの日から７日以内に、発注者に受領書又は借用書を提出しなければならない。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発注者は、前項に規定するほか、必要があると認めるときは、支給材料又は貸与品の品名、数量、品質、規格若しくは性能、引渡場所又は引渡時期を変更することができる。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発注者は、前２項の場合において、必要があると認められるときは工期若しくは請負代金額を変更し、又は受注者に損害を及ぼしたときは必要な費用を負担しなければならない。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受注者は、支給材料及び貸与品を善良な管理者の注意をもって管理しなければならない。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受注者は、設計図書に定めるところにより、工事の完成、設計図書の変更等によって不用となった支給材料又は貸与品を発注者に返還しなければならない。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1</w:t>
      </w:r>
      <w:r>
        <w:rPr>
          <w:rFonts w:hint="eastAsia" w:ascii="ＭＳ 明朝" w:hAnsi="ＭＳ 明朝" w:eastAsia="ＭＳ 明朝"/>
        </w:rPr>
        <w:t>　受注者は、支給材料又は貸与品の使用方法が設計図書に明示されていないときは、監督員の指示に従わなければならない。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（工事用地の確保等）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受注者は、確保された工事用地等を善良な管理者の注意をもって管理しなければならない。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第３項に規定する受注者のとるべき措置の期限、方法等については、発注者が受注者の意見を聴いて定める。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（設計図書不適合の場合の改造義務及び破壊検査等）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工事の施工部分が設計図書に適合しない場合において、監督員がその改造を請求したときは、当該請求に従わなければならない。この場合において、当該不適合が監督員の指示によるときその他発注者の責に帰すべき事由によるときは、発注者は、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監督員は、受注者が第１３条第２項又は第１４条第１項から第３項までの規定に違反した場合において、必要があると認められるときは、工事の施工部分を破壊して検査することができる。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前２項の場合において、検査及び復旧に直接要する費用は受注者の負担とする。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　</w:t>
      </w:r>
      <w:r>
        <w:rPr>
          <w:rFonts w:hint="eastAsia" w:ascii="ＭＳ 明朝" w:hAnsi="ＭＳ 明朝" w:eastAsia="ＭＳ 明朝"/>
        </w:rPr>
        <w:t>受注者は、工事の施工に当たり、次の各号のいずれかに該当する事実を発見したときは、その旨を直ちに監督員に通知し、その確認を請求しなければならない。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工事現場の形状、地質、湧水等の状態、施工上の制約等設計図書に示された自然的又は人為的な施工条件と実際の工事現場が一致しないこと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設計図書で明示されていない施工条件について予期することのできない特別な状態が生じたこと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前項の調査の結果において第１項の事実が確認された場合において、必要があると認められるときは、次の各号に掲げるところにより、設計図書の訂正又は変更を行わなければならない。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第１項第１号から第３号までのいずれかに該当し設計図書を訂正する必要があるもの　発注者が行う。</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第１項第４号又は第５号に該当し設計図書を変更する場合で工事目的物の変更を伴うもの発注者が行う。</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第１項第４号又は第５号に該当し設計図書を変更する場合で工事目的物の変更を伴わないもの発注者と受注者とが協議して発注者が行う。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工事用地等の確保ができない等のため又は暴風、豪雨、洪水、高潮、地震、地すべり、落盤、火災、騒乱、暴動その他の自然的又は人為的な事象（以下「天災等」という。）であって受注者の責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発注者は、前項の規定によるほか、必要があると認めるときは、工事の中止内容を受注者に通知して、工事の全部又は一部の施工を一時中止させることができる。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（著しく短い工期の禁止）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（受注者の請求による工期の延長）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受注者は、天候の不良、第２条の規定に基づく関連工事の調整への協力その他受注者の責に帰すことができない事由により工期内に工事を完成することができないときは、その理由を明示した書面により、発注者に工期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（発注者の請求による工期の短縮等）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発注者は、特別の理由により工期を短縮する必要があるときは、工期の短縮変更を受注者に請求することができる。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発注者は、前２項の場合において、必要があると認められるときは請負代金額を変更し、又は受注者に損害を及ぼしたときは必要な費用を負担しなければならない。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（工期の変更方法）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工期の変更については、発注者と受注者とが協議して定める。ただし、協議開始の日から１４日以内に協議が整わない場合には、発注者が定め、受注者に通知する。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（請負代金額の変更方法等）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請負代金額の変更については、発注者と受注者とが協議して定める。ただし、協議開始の日から１４日以内に協議が整わない場合には、発注者が定め、受注者に通知する。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（賃金又は物価の変動に基づく請負代金額の変更）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予期することができない特別の事情により、工期内に日本国内において急激なインフレ－ション又はデフレ－ションを生じ、請負代金額が著しく不適当となったときは、発注者又は受注者は、前各項の規定にかかわらず、請負代金額の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前項の場合においては、受注者は、そのとった措置の内容を監督員に直ちに通知しなければならない。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監督員は、災害防止その他工事の施工上特に必要があると認めるときは、受注者に対して臨機の措置をとることを請求することができる。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工事目的物の引渡し前に、工事目的物又は工事材料について生じた損害その他工事の施工に関して生じた損害（次条第１項若しくは第２項又は第３０条第１項に規定する損害を除く。）については、受注者がその費用を負担する。ただし、その損害（第５７条第１項の規定により付された保険等によりてん補された部分を除く。）のうち発注者の責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strike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工事の施工について第三者に損害を及ぼしたときは、受注者がその損害を賠償しなければならない。ただし、その損害（第５７条第１項の規定により付された保険等によりてん補された部分を除く。以下この条において同じ。）のうち発注者の責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前２項の場合その他工事の施工について第三者との間に紛争を生じた場合においては、発注者及び受注者は協力してその処理解決に当たるものとする。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第５７条第１項の規定により付された保険等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工事目的物等であって第１３条第２項、第１４条第１項若しくは第２項又は第３８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ただし、災害応急対策又は災害復旧に関する工事における損害については、発注者が損害合計額を負担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損害の額は、次の各号に掲げる損害につき、それぞれ当該各号に定めるところにより、算定する。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工事目的物に関する損害</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損害を受けた工事目的物に相応する請負代金額とし、残存価値がある場合にはその評価額を差し引いた額とする。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工事材料に関する損害</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損害を受けた工事材料で通常妥当と認められるものに相応する請負代金額とし、残存価値がある場合にはその評価額を差し引いた額とする。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仮設物又は建設機械器具に関する損害</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損害合計額を」とあるのは「損害合計額から既に負担した額を差し引いた額を」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５条、第１７条から第２０条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受注者は、工事を完成したときは、その旨を発注者に通知しなければならない。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き認められるときは、その理由を受注者に通知して、工事目的物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前項の場合において、検査又は復旧に直接要する費用は、受注者の負担とする。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発注者は、第２項の検査によって工事の完成を確認した後、受注者が工事目的物の引渡しを申し出たときは、直ちに当該工事目的物の引渡しを受けなければならない。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受注者は、工事が第２項の検査に合格しないときは、直ちに修補して発注者の検査を受けなければならない。この場合においては、修補の完了を工事の完成とみなして前各項の規定を準用する。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受注者は、前条第２項（同条第６項後段の規定により適用される場合を含む。第３項において同じ。）の検査に合格したときは、請負代金の支払いを請求することができる。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発注者は、前項の規定による請求があったときは、請求を受けた日から４０日以内に請負代金を支払わなければならない。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発注者は、第３２条第４項又は第５項の規定による引渡し前においても、工事目的物の全部又は一部を受注者の承諾を得て使用することができる。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発注者は、第１項の規定により工事目的物の全部又は一部を使用したことによって受注者に損害を及ぼしたときは、必要な費用を負担しなければならない。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（前金払及び中間前金払）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第３５条</w:t>
      </w:r>
      <w:r>
        <w:rPr>
          <w:rFonts w:hint="eastAsia" w:ascii="ＭＳ 明朝" w:hAnsi="ＭＳ 明朝" w:eastAsia="ＭＳ 明朝"/>
        </w:rPr>
        <w:t>　受注者は、公共工事の前払金保証事業に関する法律（昭和２７年法律第１８４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１０分の４以内の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発注者は、前項の規定による請求があったときは、請求を受けた日から１４日以内に前払金を支払わなければならない。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第１項の規定による前払金の支払いを受けた後、保証事業会社と中間前払金に関する保証契約を締結し、その保証証書を発注者に寄託して、請負代金額の１０分の２以内の中間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第２項の規定は、前項の場合について準用する。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請負代金額が著しく増額された場合においては、その増額後の請負代金額の１０分の４（第３項の規定により中間前払金の支払いを受けているときは１０分の６）から受領済みの前払金額（中間前払金の支払いを受けている場合には、中間前払金を含む。事項及び次条において同じ。）を差し引いた額に相当する額の範囲内で前払い金（中間前払金の支払いを受けているときは、中間前払金を含む。以下この条から第３７条までにおいて同じ。）の支払いを請求することができる。この場合においては第３項の規定を準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７　受注者は、請負代金額が著しく減額された場合において、受領済みの前払金額が減額後の請負代金額の１０分の５（第４項の規定により中間前払金の支払いを受けているときは１０分の６）を超えるときは、受注者は、請負代金額が減額された日から３０日以内にその超過額を返還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前項の超過額が相当の額に達し、返還することが前払金の使用状況からみて著しく不適当であると認められるときは、発注者と受注者が協議して返還すべき超過額を定める。ただし、請負代金額が減額された日から２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発注者は、受注者が第６項の期間内に超過額を返還しなかったときは、その未返還額につき、同項の期間を経過した日から返還をする日までの期間について、その日数に応じ、年３．０パーセントの割合で計算した額の遅延利息の支払い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（保証契約の変更）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第３６条</w:t>
      </w:r>
      <w:r>
        <w:rPr>
          <w:rFonts w:hint="eastAsia" w:ascii="ＭＳ 明朝" w:hAnsi="ＭＳ 明朝" w:eastAsia="ＭＳ 明朝"/>
        </w:rPr>
        <w:t>　受注者は、前条第３項の規定により受領済みの前払金に追加してさらに前払金の支払いを請求する場合には、あらかじめ、保証契約を変更し、変更後の保証証書を発注者に寄託しなければならない。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受注者は、前項に定める場合のほか、請負代金額が減額された場合において、保証契約を変更したときは、変更後の保証証書を直ちに発注者に寄託しなければならない。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受注者は、前払金額の変更を伴わない工期の変更が行われた場合には、発注者に代わりその旨を保証事業会社に直ちに通知するものとする。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（前払金の使用等）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平成２８年４月１日から新たに請負契約を締結する工事に係る前払金については、前払金の１００分の２５を超える額及び中間前払金を除き、この工事の現場管理費及び一般管理費等のうちこの工事の施工に要する費用に係る支払い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受注者は、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４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前項の場合において、検査又は復旧に直接要する費用は、受注者の負担とする。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受注者は、第３項の規定による確認があったときは、部分払を請求することができる。この場合においては、発注者は、当該請求を受けた日から１４日以内に部分払金を支払わなければならない。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部分払金の額≦第１項の請負代金相当額×（９／１０－前払金額／請負代金額）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工事目的物について、発注者が設計図書において工事の完成に先だって引渡しを受けるべきことを指定した部分（以下「指定部分」という。）がある場合において、当該指定部分の工事が完了したときについては、第３２条中「工事」とあるのは「指定部分に係る工事」と、「工事目的物」とあるのは「指定部分に係る工事目的物」と、同条第５項及び第３３条中「請負代金」とあるのは「部分引渡しに係る請負代金」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より準用される第３３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２項の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部分引渡しに係る請負代金の額＝指定部分に相応する請負代金の額×（１－前払金額／請負代金額）</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債務負担行為又は継続費（以下「債務負担行為等」という。）に係る契約において、各会計年度における請負代金の支払いの限度額（以下「支払限度額」という。）は、次のとおりとする。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支払限度額に対応する各会計年度の出来高予定額は、次のとおりである。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発注者は、予算上の都合その他の必要があるときは、第１項の支払限度額及び前項の出来高予定額を変更することができる。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（債務負担行為等に係る契約の前金払及び中間前金払の特則））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債務負担行為等に係る契約の前金払及び中間前金払については、第３５条中「契約書記載の工事完成の時期」とあるのは「契約書記載の工事完成の時期（最終の会計年度以外の会計年度にあっては、各会計年度末）」と、同条及び第３６条中「請負代金額」とあるのは「当該会計年度の出来高予定額（前会計年度末における第３８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契約会計年度について前払金及び中間前払金を支払わない旨が設計図書に定められているときには、同項の規定により準用される第３５条第１項及び第３項の規定にかかわらず、受注者は、契約会計年度について前払金及び中間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契約会計年度に翌会計年度分の前払金及び中間前払金を含めて支払う旨が設計図書に定められているときには、同項の規定により準用される第３５条第１項の規定にかかわらず、受注者は、契約会計年度に翌会計年度に支払うべき前払金相当分及び中間前払金相当分（　　　　　　　　　円以内）を含めて前払金及び中間前払金の支払いを請求することができる。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場合において、前会計年度末における請負代金相当額が前会計年度までの出来高予定額に達しないときには、同項の規定により準用される第３５条第１項の規定にかかわらず、受注者は、請負代金相当額が前会計年度までの出来高予定額に達するまで当該会計年度の前払金及び中間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６条第３項の規定を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債務負担行為等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この契約において、前払金及び中間前払金の支払いを受けている場合の部分払金の額については、第３８条第６項及び第７項の規定にかかわらず、次の式により算定する。</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部分払金の額≦請負代金相当額×９／１０－前会計年度までの支払金額－（請負代金相当額－前会計年度までの出来高予定額）×（当該会計年度前払金額＋当該会計年度の中間前払金額）／当該会計年度の出来高予定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受注者は、発注者の承諾を得て請負代金の全部又は一部の受領につき、第三者を代理人とすることができる。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９条において準用する場合を含む。）又は第３８条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（前払金等の不払に対する工事中止）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受注者は、発注者が第３５条、第３８条又は第３９条において準用される第３３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（１）履行の追完が不能であるとき。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（２）受注者が履行の追完を拒絶する意思を明確に表示したとき。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（４）前３号に掲げる場合のほか、発注者がこの項の規定による催告をしても履行の追完を受ける見込みがないことが明らかであるとき。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発注者は、工事が完成するまでの間は、次条又は第４８条の規定によるほか、必要があるときは、この契約を解除することができる。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正当な理由なく、工事に着手すべき期日を過ぎても工事に着手しないとき。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工期内に完成しないとき又は工期経過後相当の期間内に工事を完成する見込みが明らかにないと認められるとき。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第１０条第１項第２号に掲げる者を設置しなかったとき。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正当な理由なく、第４５条第１項の履行の追完がなされないとき。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前各号に掲げる場合のほか、この契約に違反したとき。</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第５条第１項の規定に違反して請負代金債権を譲渡したとき。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第５条第４項の規定に違反して譲渡により得た資金を当該工事の施工以外に使用したとき。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この契約の目的物を完成させることができないことが明らかであるとき。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引き渡された工事目的物に契約不適合がある場合において、その不適合が目的物を除却した上で再び建設しなければ、契約の目的を達することができないものであるとき。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受注者がこの契約の目的物の完成の債務の履行を拒絶する意思を明確に表示したとき。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７</w:t>
      </w:r>
      <w:r>
        <w:rPr>
          <w:rFonts w:hint="default" w:ascii="ＭＳ 明朝" w:hAnsi="ＭＳ 明朝" w:eastAsia="ＭＳ 明朝"/>
        </w:rPr>
        <w:t>)</w:t>
      </w:r>
      <w:r>
        <w:rPr>
          <w:rFonts w:hint="eastAsia" w:ascii="ＭＳ 明朝" w:hAnsi="ＭＳ 明朝" w:eastAsia="ＭＳ 明朝"/>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８</w:t>
      </w:r>
      <w:r>
        <w:rPr>
          <w:rFonts w:hint="default"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９</w:t>
      </w:r>
      <w:r>
        <w:rPr>
          <w:rFonts w:hint="default"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　第５１条又は第５２条の規定によらないでこの契約の解除を申し出たとき。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1)</w:t>
      </w:r>
      <w:r>
        <w:rPr>
          <w:rFonts w:hint="eastAsia" w:ascii="ＭＳ 明朝" w:hAnsi="ＭＳ 明朝" w:eastAsia="ＭＳ 明朝"/>
        </w:rPr>
        <w:t>　受注者（受注者が共同企業体であるときは、その構成員のいずれかの者。以下この号において同じ。）が次のいずれかに該当するとき。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イ　役員等（受注者が個人である場合にはその者その他経営に実質的に関与している者を、受注者が法人である場合にはその役員、　その支店若しくは常時建設工事の請負契約を締結する事務所の代表者その他経営に実質的に関与している者をいう。以下この号において同じ。）が暴力団員であると認められるとき。</w:t>
      </w:r>
    </w:p>
    <w:p>
      <w:pPr>
        <w:pStyle w:val="0"/>
        <w:spacing w:line="340" w:lineRule="exact"/>
        <w:ind w:left="0" w:leftChars="0" w:hanging="400" w:hangingChars="194"/>
        <w:rPr>
          <w:rFonts w:hint="eastAsia" w:ascii="ＭＳ 明朝" w:hAnsi="ＭＳ 明朝" w:eastAsia="ＭＳ 明朝"/>
        </w:rPr>
      </w:pPr>
      <w:r>
        <w:rPr>
          <w:rFonts w:hint="eastAsia" w:ascii="ＭＳ 明朝" w:hAnsi="ＭＳ 明朝" w:eastAsia="ＭＳ 明朝"/>
        </w:rPr>
        <w:t>　　　ロ　役員等が自己、自社若しくは第三者の不正の利益を図る目的又は第三者に損害を加える目的をもって、暴力団又は暴力団員を利用するなどしたと認められるとき。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ニ　役員等が、暴力団又は暴力団員であることを知りながらこれを不当に利用するなどしていると認められるとき。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ホ　役員等が暴力団又は暴力団員と社会的に非難されるべき関係を有していると認められるとき。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ヘ　下請契約又は資材、原材料の購入契約その他の契約に当たり、その相手がイからホまでのいずれかに該当することを知りながら、当該者と契約を締結したと認められるとき。</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w:t>
      </w:r>
      <w:r>
        <w:rPr>
          <w:rFonts w:hint="eastAsia" w:ascii="ＭＳ 明朝" w:hAnsi="ＭＳ 明朝" w:eastAsia="ＭＳ 明朝"/>
        </w:rPr>
        <w:t>　第４７条各号又は前条各号に定める場合が発注者の責めに帰すべき事由によるものであるときは、発注者は、前２条の規定による契約の解除をすることができない。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（公共工事履行保証証券による保証の請求）</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第４条第１項の規定によりこの契約による債務の履行を保証する公共工事履行保証証券による保証が付された場合において、受注者が第４７条各号又は第４８条各号のいずれかに該当するときは、発注者は、当該公共工事履行保証証券の規定に基づき、保証人に対して、他の建設業者を選定し、工事を完成させるよう請求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一　請負代金債権（前払金若しくは中間前払金、部分払金又は部分引渡しに係る請負代金として受注者に既に支払われたものを除く。）</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二　工事完成債務</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三　契約不適合を保証する債務（受注者が施工した出来形部分の契約不適合に係るものを除く。</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四　解除権</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五　その他この契約に係る一切の権利及び義務（第二十九条の規定により受注者が施工した工事に関して生じた第三者への損害賠償債務を除く。）</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３　発注者は、前項の通知を代替履行業者から受けた場合には、代替履行業者が同項各号に規定する受注者の権利及び義務を承継することを承諾する。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（受注者の催告によらない解除権）</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第１９条の規定により設計図書を変更したため請負代金額が３分の２以上減少したとき。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第５１条又は前条各号に定める場合が受注者の責めに帰すべき事由によるものであるときは、受注者は、前２条の規定による契約の解除をすることができない。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w:t>
      </w:r>
      <w:r>
        <w:rPr>
          <w:rFonts w:hint="eastAsia" w:ascii="ＭＳ 明朝" w:hAnsi="ＭＳ 明朝" w:eastAsia="ＭＳ 明朝"/>
        </w:rPr>
        <w:t>　発注者は、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前項の場合において、検査又は復旧に直接要する費用は、受注者の負担とする。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第３５条（第４１条において準用する場合を含む。）の規定による前払金又は中間前払金があったときは、当該前払金の額及び中間前払金の額（第３８条及び第４２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の額になお余剰があるときは、受注者は、解除が第４７条、第４８条又は次条第３項の規定によるときにあっては、その余剰額に前払金又は中間前払金の支払いの日から返還の日までの日数に応じ年３．０パーセントの割合で計算した額の利息を付した額を、解除が第４６条、第５１条又は第５２条の規定によるときにあっては、その余剰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第４項前段及び第５項前段に規定する受注者のとるべき措置の期限、方法等については、この契約の解除が第４７条、第４８条又は次条第３項の規定によるときは発注者が定め、第４６条、第５１条又は第５２条の規定によるときは受注者が発注者の意見を聴いて定めるものとし、第４項後段、第５項後段及び第６項に規定する受注者のとるべき措置の期限、方法等については、発注者が受注者に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９　工事の完成後にこの契約が解除された場合は、解除に伴い生じる事項の処理については発注者及び受注者が民法の規定に従って協議して決める。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第５５条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工期内に工事を完成することができないとき。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この工事目的物に契約不適合があるとき。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第４７条又は第４８条の規定により、工事目的物の完成後にこの契約が解除されたとき。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次の各号のいずれかに該当するときは、前項の損害賠償に代えて、受注者は、請負代金額の１０分の１に相当する額を違約金として発注者の指定する期間内に支払わなければならない。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第４７条又は第４８条の規定により工事目的物の完成前にこの契約が解除されたとき。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工事目的物の完成前に、受注者がその債務の履行を拒否し、又は受注者の責めに帰すべき事由によって受注者の債務について履行不能となったとき。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受注者について破産手続開始の決定があった場合において、破産法（平成１６年法律第７５号）の規定により選任された破産管財人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受注者について更生手続開始の決定があった場合において、会社更生法（平成１４年法律第１５４号）の規定により選任された管財人</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受注者について再生手続開始の決定があった場合において、民事再生法（平成１１年法律第２２５号）の規定により選任された再生債務者等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　第１項第１号に該当し、発注者が損害の賠償を請求する場合の請求額は、請負代金額から部分引渡しを受けた部分に相応する請負代金額を控除した額につき、遅延日数に応じ、年３．０パーセントの割合で計算した額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第２項の場合（第４８条第９号及び第１１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第５１条又は第５２条の規定によりこの契約が解除されたとき。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前号に掲げる場合のほか、債務の本旨に従った履行をしないとき又は債務の履行が不能であるとき。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第３３条第２項（第３９条において準用する場合を含む。）の規定による請負代金の支払いが遅れた場合においては、受注者は、未受領金額につき、遅延日数に応じ、年</w:t>
      </w:r>
      <w:bookmarkStart w:id="0" w:name="_GoBack"/>
      <w:bookmarkEnd w:id="0"/>
      <w:r>
        <w:rPr>
          <w:rFonts w:hint="eastAsia" w:ascii="ＭＳ 明朝" w:hAnsi="ＭＳ 明朝" w:eastAsia="ＭＳ 明朝"/>
        </w:rPr>
        <w:t>３．０パーセントの割合で計算した額の遅延利息の支払いを発注者に請求することができる。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発注者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発注者は、第１項又は第２項の請求等を行ったときは、当該請求等の根拠となる契約不適合に関し、民法の消滅時効の範囲で、当該請求等以外に必要と認められる請求等をすることができる。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（火災保険等）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受注者は、前項の規定により保険契約を締結したときは、その証券又はこれに代わるものを直ちに発注者に提示しなければならない。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受注者は、工事目的物及び工事材料等を第１項の規定による保険以外の保険に付したときは、直ちにその旨を発注者に通知しなければならない。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（あっせん又は調停）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茨城県建設工事紛争審査会（以下次条において「審査会」という。）のあっせん又は調停によりその解決を図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現場代理人の職務の執行に関する紛争、監理技術者等又は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第１項のあっせん又は調停を請求す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（仲裁）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第６０条</w:t>
      </w:r>
      <w:r>
        <w:rPr>
          <w:rFonts w:hint="eastAsia" w:ascii="ＭＳ 明朝" w:hAnsi="ＭＳ 明朝" w:eastAsia="ＭＳ 明朝"/>
        </w:rPr>
        <w:t>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（情報通信の技術を利用する方法）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第６１条</w:t>
      </w:r>
      <w:r>
        <w:rPr>
          <w:rFonts w:hint="eastAsia" w:ascii="ＭＳ 明朝" w:hAnsi="ＭＳ 明朝" w:eastAsia="ＭＳ 明朝"/>
        </w:rPr>
        <w:t>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第６２条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第６３条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第６４条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p>
    <w:p>
      <w:pPr>
        <w:pStyle w:val="0"/>
        <w:spacing w:line="340" w:lineRule="exact"/>
        <w:jc w:val="center"/>
        <w:rPr>
          <w:rFonts w:hint="eastAsia" w:ascii="ＭＳ 明朝" w:hAnsi="ＭＳ 明朝" w:eastAsia="ＭＳ 明朝"/>
          <w:spacing w:val="0"/>
          <w:sz w:val="20"/>
        </w:rPr>
      </w:pPr>
      <w:r>
        <w:rPr>
          <w:rFonts w:hint="default" w:ascii="ＭＳ 明朝" w:hAnsi="ＭＳ 明朝" w:eastAsia="ＭＳ 明朝"/>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26" w:hanging="226"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26" w:hanging="226" w:hangingChars="10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rPr>
          <w:rFonts w:hint="eastAsia" w:ascii="ＭＳ 明朝" w:hAnsi="ＭＳ 明朝" w:eastAsia="ＭＳ 明朝"/>
          <w:spacing w:val="0"/>
          <w:sz w:val="21"/>
        </w:rPr>
      </w:pPr>
    </w:p>
    <w:p>
      <w:pPr>
        <w:pStyle w:val="0"/>
        <w:spacing w:line="340" w:lineRule="exact"/>
        <w:ind w:left="226" w:hanging="226" w:hangingChars="100"/>
        <w:rPr>
          <w:rFonts w:hint="eastAsia" w:ascii="ＭＳ 明朝" w:hAnsi="ＭＳ 明朝" w:eastAsia="ＭＳ 明朝"/>
          <w:spacing w:val="0"/>
          <w:sz w:val="21"/>
        </w:rPr>
      </w:pPr>
      <w:r>
        <w:rPr>
          <w:rFonts w:hint="eastAsia"/>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226" w:hanging="226" w:hangingChars="100"/>
        <w:rPr>
          <w:rFonts w:hint="eastAsia" w:ascii="ＭＳ 明朝" w:hAnsi="ＭＳ 明朝" w:eastAsia="ＭＳ 明朝"/>
          <w:spacing w:val="0"/>
          <w:sz w:val="21"/>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spacing w:line="340" w:lineRule="exact"/>
        <w:ind w:left="226" w:hanging="226" w:hangingChars="100"/>
        <w:rPr>
          <w:rFonts w:hint="eastAsia" w:ascii="ＭＳ 明朝" w:hAnsi="ＭＳ 明朝" w:eastAsia="ＭＳ 明朝"/>
          <w:spacing w:val="0"/>
          <w:sz w:val="21"/>
        </w:rPr>
      </w:pPr>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7"/>
      <w:rPr>
        <w:rStyle w:val="17"/>
        <w:rFonts w:hint="eastAsia"/>
      </w:rPr>
    </w:pPr>
    <w:r>
      <w:rPr>
        <w:rStyle w:val="17"/>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24</w:t>
    </w:r>
    <w:r>
      <w:rPr>
        <w:rFonts w:hint="eastAsia"/>
      </w:rPr>
      <w:fldChar w:fldCharType="end"/>
    </w:r>
    <w:r>
      <w:rPr>
        <w:rStyle w:val="17"/>
        <w:rFonts w:hint="eastAsia"/>
      </w:rPr>
      <w:t>－</w:t>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7"/>
      <w:rPr>
        <w:rStyle w:val="17"/>
        <w:rFonts w:hint="eastAsia"/>
      </w:rPr>
    </w:pPr>
    <w:r>
      <w:rPr>
        <w:rStyle w:val="17"/>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24</w:t>
    </w:r>
    <w:r>
      <w:rPr>
        <w:rFonts w:hint="eastAsia"/>
      </w:rPr>
      <w:fldChar w:fldCharType="end"/>
    </w:r>
    <w:r>
      <w:rPr>
        <w:rStyle w:val="17"/>
        <w:rFonts w:hint="eastAsia"/>
      </w:rPr>
      <w:t>－</w:t>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clear" w:pos="4252"/>
        <w:tab w:val="clear" w:pos="8504"/>
        <w:tab w:val="center" w:leader="none" w:pos="4501"/>
        <w:tab w:val="right" w:leader="none" w:pos="9002"/>
      </w:tabs>
      <w:jc w:val="center"/>
      <w:rPr>
        <w:rFonts w:hint="default" w:ascii="ＭＳ 明朝" w:hAnsi="ＭＳ 明朝" w:eastAsia="ＭＳ 明朝"/>
      </w:rPr>
    </w:pPr>
    <w:r>
      <w:rPr>
        <w:rFonts w:hint="eastAsia"/>
        <w:sz w:val="16"/>
      </w:rPr>
      <w:t>2024-11</w:t>
    </w:r>
    <w:r>
      <w:rPr>
        <w:rFonts w:hint="default"/>
        <w:sz w:val="32"/>
      </w:rPr>
      <w:tab/>
    </w:r>
    <w:r>
      <w:rPr>
        <w:rFonts w:hint="default"/>
        <w:sz w:val="32"/>
      </w:rPr>
      <w:tab/>
    </w:r>
    <w:r>
      <w:rPr>
        <w:rFonts w:hint="eastAsia" w:ascii="ＭＳ 明朝" w:hAnsi="ＭＳ 明朝" w:eastAsia="ＭＳ 明朝"/>
      </w:rPr>
      <w:t>工事５００未満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1"/>
    <w:uiPriority w:val="0"/>
    <w:pPr>
      <w:wordWrap w:val="0"/>
      <w:spacing w:line="360" w:lineRule="exact"/>
      <w:ind w:left="416" w:hanging="416" w:hangingChars="200"/>
    </w:pPr>
    <w:rPr>
      <w:spacing w:val="9"/>
    </w:rPr>
  </w:style>
  <w:style w:type="paragraph" w:styleId="16">
    <w:name w:val="footer"/>
    <w:basedOn w:val="0"/>
    <w:next w:val="16"/>
    <w:link w:val="22"/>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23"/>
    <w:uiPriority w:val="0"/>
    <w:pPr>
      <w:tabs>
        <w:tab w:val="center" w:leader="none" w:pos="4252"/>
        <w:tab w:val="right" w:leader="none" w:pos="8504"/>
      </w:tabs>
      <w:snapToGrid w:val="0"/>
    </w:p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next w:val="20"/>
    <w:link w:val="19"/>
    <w:uiPriority w:val="0"/>
    <w:rPr>
      <w:rFonts w:ascii="Arial" w:hAnsi="Arial" w:eastAsia="ＭＳ ゴシック"/>
      <w:spacing w:val="8"/>
      <w:kern w:val="2"/>
      <w:sz w:val="18"/>
    </w:rPr>
  </w:style>
  <w:style w:type="character" w:styleId="21" w:customStyle="1">
    <w:name w:val="本文インデント (文字)"/>
    <w:next w:val="21"/>
    <w:link w:val="15"/>
    <w:uiPriority w:val="0"/>
    <w:rPr>
      <w:spacing w:val="9"/>
      <w:kern w:val="2"/>
      <w:sz w:val="19"/>
    </w:rPr>
  </w:style>
  <w:style w:type="character" w:styleId="22" w:customStyle="1">
    <w:name w:val="フッター (文字)"/>
    <w:next w:val="22"/>
    <w:link w:val="16"/>
    <w:uiPriority w:val="0"/>
    <w:rPr>
      <w:spacing w:val="8"/>
      <w:kern w:val="2"/>
      <w:sz w:val="19"/>
    </w:rPr>
  </w:style>
  <w:style w:type="character" w:styleId="23" w:customStyle="1">
    <w:name w:val="ヘッダー (文字)"/>
    <w:next w:val="23"/>
    <w:link w:val="18"/>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table" w:styleId="27">
    <w:name w:val="Table Grid"/>
    <w:basedOn w:val="11"/>
    <w:next w:val="27"/>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30</Pages>
  <Words>35</Words>
  <Characters>35403</Characters>
  <Application>JUST Note</Application>
  <Lines>1206</Lines>
  <Paragraphs>481</Paragraphs>
  <CharactersWithSpaces>36251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2024-10-23T23:41:31Z</cp:lastPrinted>
  <dcterms:created xsi:type="dcterms:W3CDTF">2023-03-28T01:30:00Z</dcterms:created>
  <dcterms:modified xsi:type="dcterms:W3CDTF">2026-03-25T00:24:12Z</dcterms:modified>
  <cp:revision>11</cp:revision>
</cp:coreProperties>
</file>