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4918710</wp:posOffset>
            </wp:positionH>
            <wp:positionV relativeFrom="paragraph">
              <wp:posOffset>-240665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（産業廃棄物収集運搬用）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spacing w:line="340" w:lineRule="exact"/>
        <w:ind w:left="194" w:hanging="194" w:hangingChars="94"/>
        <w:rPr>
          <w:rFonts w:hint="default" w:ascii="ＭＳ 明朝" w:hAnsi="ＭＳ 明朝" w:eastAsia="ＭＳ 明朝"/>
          <w:b w:val="1"/>
        </w:rPr>
      </w:pPr>
      <w:r>
        <w:rPr>
          <w:rFonts w:hint="eastAsia"/>
        </w:rPr>
        <w:br w:type="page"/>
      </w:r>
    </w:p>
    <w:p>
      <w:pPr>
        <w:rPr>
          <w:rFonts w:hint="eastAsia"/>
        </w:rPr>
        <w:sectPr>
          <w:headerReference r:id="rId6" w:type="default"/>
          <w:footerReference r:id="rId7" w:type="even"/>
          <w:footerReference r:id="rId8" w:type="default"/>
          <w:headerReference r:id="rId5" w:type="first"/>
          <w:type w:val="nextColumn"/>
          <w:pgSz w:w="11905" w:h="16838"/>
          <w:pgMar w:top="1984" w:right="1446" w:bottom="1417" w:left="1457" w:header="454" w:footer="635" w:gutter="0"/>
          <w:cols w:space="720"/>
          <w:textDirection w:val="lrTb"/>
          <w:docGrid w:linePitch="258"/>
        </w:sectPr>
      </w:pP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発注者（排出事業者）と受注者（収集運搬業者）は、本契約の委託に関し、仕様書に示す発注者の事業場から排出される産業廃棄物の収集運搬について次の事項について特約事項として締結する。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tbl>
      <w:tblPr>
        <w:tblStyle w:val="30"/>
        <w:tblW w:w="0" w:type="auto"/>
        <w:tblInd w:w="0" w:type="dxa"/>
        <w:tblLayout w:type="fixed"/>
        <w:tblLook w:firstRow="1" w:lastRow="0" w:firstColumn="1" w:lastColumn="0" w:noHBand="0" w:noVBand="1" w:val="04A0"/>
      </w:tblPr>
      <w:tblGrid>
        <w:gridCol w:w="3000"/>
        <w:gridCol w:w="3000"/>
        <w:gridCol w:w="3000"/>
      </w:tblGrid>
      <w:tr>
        <w:trPr>
          <w:trHeight w:val="640" w:hRule="atLeast"/>
        </w:trPr>
        <w:tc>
          <w:tcPr>
            <w:tcW w:w="30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000" w:type="dxa"/>
            <w:vAlign w:val="center"/>
          </w:tcPr>
          <w:p>
            <w:pPr>
              <w:pStyle w:val="0"/>
              <w:jc w:val="center"/>
              <w:rPr>
                <w:rFonts w:hint="eastAsia"/>
              </w:rPr>
            </w:pPr>
            <w:r>
              <w:rPr>
                <w:rFonts w:hint="eastAsia"/>
              </w:rPr>
              <w:t>積み込み場所</w:t>
            </w:r>
          </w:p>
        </w:tc>
        <w:tc>
          <w:tcPr>
            <w:tcW w:w="3000" w:type="dxa"/>
            <w:vAlign w:val="center"/>
          </w:tcPr>
          <w:p>
            <w:pPr>
              <w:pStyle w:val="0"/>
              <w:jc w:val="center"/>
              <w:rPr>
                <w:rFonts w:hint="eastAsia"/>
              </w:rPr>
            </w:pPr>
            <w:r>
              <w:rPr>
                <w:rFonts w:hint="eastAsia"/>
              </w:rPr>
              <w:t>荷下ろし場所</w:t>
            </w:r>
          </w:p>
        </w:tc>
      </w:tr>
      <w:tr>
        <w:trPr>
          <w:trHeight w:val="530" w:hRule="atLeast"/>
        </w:trPr>
        <w:tc>
          <w:tcPr>
            <w:tcW w:w="3000"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許可都道府県等</w:t>
            </w:r>
          </w:p>
        </w:tc>
        <w:tc>
          <w:tcPr>
            <w:tcW w:w="3000" w:type="dxa"/>
            <w:vAlign w:val="top"/>
          </w:tcPr>
          <w:p>
            <w:pPr>
              <w:pStyle w:val="0"/>
              <w:rPr>
                <w:rFonts w:hint="eastAsia"/>
              </w:rPr>
            </w:pPr>
          </w:p>
        </w:tc>
        <w:tc>
          <w:tcPr>
            <w:tcW w:w="3000"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許可品目</w:t>
            </w:r>
          </w:p>
        </w:tc>
        <w:tc>
          <w:tcPr>
            <w:tcW w:w="3000" w:type="dxa"/>
            <w:vAlign w:val="top"/>
          </w:tcPr>
          <w:p>
            <w:pPr>
              <w:pStyle w:val="0"/>
              <w:rPr>
                <w:rFonts w:hint="eastAsia"/>
              </w:rPr>
            </w:pPr>
          </w:p>
        </w:tc>
        <w:tc>
          <w:tcPr>
            <w:tcW w:w="3000"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発注者が受注者に収集・運搬を委託する産業廃棄物の種類及び数量は次のとおりとする。</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（運搬の最終目的地）</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受注者は、発注者から委託された前項の産業廃棄物を、発注者の指定する次の最終目的地に搬入する。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氏名・名称（法人名）</w:t>
            </w:r>
          </w:p>
          <w:p>
            <w:pPr>
              <w:pStyle w:val="0"/>
              <w:jc w:val="both"/>
              <w:rPr>
                <w:rFonts w:hint="eastAsia"/>
              </w:rPr>
            </w:pPr>
            <w:r>
              <w:rPr>
                <w:rFonts w:hint="eastAsia"/>
              </w:rPr>
              <w:t>及び住所</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許可都道府県名</w:t>
            </w:r>
          </w:p>
        </w:tc>
        <w:tc>
          <w:tcPr>
            <w:tcW w:w="6487" w:type="dxa"/>
            <w:vAlign w:val="top"/>
          </w:tcPr>
          <w:p>
            <w:pPr>
              <w:pStyle w:val="0"/>
              <w:rPr>
                <w:rFonts w:hint="eastAsia"/>
              </w:rPr>
            </w:pPr>
          </w:p>
        </w:tc>
      </w:tr>
      <w:tr>
        <w:trPr>
          <w:trHeight w:val="758" w:hRule="atLeast"/>
        </w:trPr>
        <w:tc>
          <w:tcPr>
            <w:tcW w:w="2515" w:type="dxa"/>
            <w:vAlign w:val="center"/>
          </w:tcPr>
          <w:p>
            <w:pPr>
              <w:pStyle w:val="0"/>
              <w:jc w:val="both"/>
              <w:rPr>
                <w:rFonts w:hint="eastAsia"/>
              </w:rPr>
            </w:pPr>
            <w:r>
              <w:rPr>
                <w:rFonts w:hint="eastAsia"/>
              </w:rPr>
              <w:t>事業場の名称・住所</w:t>
            </w:r>
          </w:p>
        </w:tc>
        <w:tc>
          <w:tcPr>
            <w:tcW w:w="6487" w:type="dxa"/>
            <w:vAlign w:val="top"/>
          </w:tcPr>
          <w:p>
            <w:pPr>
              <w:pStyle w:val="0"/>
              <w:rPr>
                <w:rFonts w:hint="eastAsia"/>
              </w:rPr>
            </w:pPr>
          </w:p>
        </w:tc>
      </w:tr>
      <w:tr>
        <w:trPr>
          <w:trHeight w:val="520" w:hRule="atLeast"/>
        </w:trPr>
        <w:tc>
          <w:tcPr>
            <w:tcW w:w="2515" w:type="dxa"/>
            <w:vAlign w:val="center"/>
          </w:tcPr>
          <w:p>
            <w:pPr>
              <w:pStyle w:val="0"/>
              <w:jc w:val="both"/>
              <w:rPr>
                <w:rFonts w:hint="eastAsia"/>
              </w:rPr>
            </w:pPr>
            <w:r>
              <w:rPr>
                <w:rFonts w:hint="eastAsia"/>
              </w:rPr>
              <w:t>処分方法</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（積替保管）</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受注者は、発注者から委託された産業廃棄物の積替えを行わない。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第５条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第６条　受注者は、発注者から委託された産業廃棄物を、その積み込み作業の開始から、第３条に規定する運搬の最終目的地における荷下ろし作業の完了まで、法令に基づき適正に収集・運搬しなければならない。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業務が終了した後、直ちに業務終了報告書を作成し、発注者に提出する。ただし、業務終了報告書は収集・運搬業務については、それぞれの運搬区間に応じたマニフェストＢ２票、Ｂ４票、Ｂ６票、又は電子マニフェストの運搬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第１０条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収集・運搬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収集・運搬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ら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第１１条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w:t>
      </w:r>
      <w:bookmarkStart w:id="0" w:name="_GoBack"/>
      <w:bookmarkEnd w:id="0"/>
      <w:r>
        <w:rPr>
          <w:rFonts w:hint="eastAsia"/>
          <w:sz w:val="21"/>
        </w:rPr>
        <w:t>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94" w:hanging="194" w:hangingChars="94"/>
        <w:jc w:val="left"/>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4"/>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4"/>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23</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産廃運搬総価</w:t>
    </w:r>
    <w:r>
      <w:rPr>
        <w:rFonts w:hint="eastAsia" w:ascii="ＭＳ 明朝" w:hAnsi="ＭＳ 明朝" w:eastAsia="ＭＳ 明朝"/>
      </w:rPr>
      <w:t>500</w:t>
    </w:r>
    <w:r>
      <w:rPr>
        <w:rFonts w:hint="eastAsia" w:ascii="ＭＳ 明朝" w:hAnsi="ＭＳ 明朝" w:eastAsia="ＭＳ 明朝"/>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26</Pages>
  <Words>34</Words>
  <Characters>28738</Characters>
  <Application>JUST Note</Application>
  <Lines>1049</Lines>
  <Paragraphs>441</Paragraphs>
  <CharactersWithSpaces>29497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2026-03-24T22:57:42Z</dcterms:modified>
  <cp:revision>8</cp:revision>
</cp:coreProperties>
</file>