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194" w:hanging="194" w:hangingChars="94"/>
        <w:jc w:val="center"/>
        <w:rPr>
          <w:rFonts w:hint="eastAsia" w:ascii="ＭＳ ゴシック" w:hAnsi="ＭＳ ゴシック" w:eastAsia="ＭＳ ゴシック"/>
          <w:b w:val="0"/>
          <w:sz w:val="28"/>
        </w:rPr>
      </w:pPr>
      <w:r>
        <w:rPr>
          <w:rFonts w:hint="eastAsia"/>
        </w:rPr>
        <w:drawing>
          <wp:anchor distT="0" distB="0" distL="203200" distR="203200" simplePos="0" relativeHeight="2" behindDoc="0" locked="0" layoutInCell="1" hidden="0" allowOverlap="1">
            <wp:simplePos x="0" y="0"/>
            <wp:positionH relativeFrom="column">
              <wp:posOffset>4890135</wp:posOffset>
            </wp:positionH>
            <wp:positionV relativeFrom="paragraph">
              <wp:posOffset>-231140</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9"/>
                    <a:stretch>
                      <a:fillRect/>
                    </a:stretch>
                  </pic:blipFill>
                  <pic:spPr>
                    <a:xfrm>
                      <a:off x="0" y="0"/>
                      <a:ext cx="733425" cy="704850"/>
                    </a:xfrm>
                    <a:prstGeom prst="rect">
                      <a:avLst/>
                    </a:prstGeom>
                  </pic:spPr>
                </pic:pic>
              </a:graphicData>
            </a:graphic>
          </wp:anchor>
        </w:drawing>
      </w:r>
      <w:r>
        <w:rPr>
          <w:rFonts w:hint="eastAsia" w:ascii="ＭＳ ゴシック" w:hAnsi="ＭＳ ゴシック" w:eastAsia="ＭＳ ゴシック"/>
          <w:b w:val="0"/>
          <w:sz w:val="28"/>
        </w:rPr>
        <w:t>（産業廃棄物収集運搬用）</w:t>
      </w:r>
    </w:p>
    <w:p>
      <w:pPr>
        <w:pStyle w:val="0"/>
        <w:spacing w:line="340" w:lineRule="exact"/>
        <w:ind w:left="194" w:hanging="194" w:hangingChars="94"/>
        <w:jc w:val="center"/>
        <w:rPr>
          <w:rFonts w:hint="default" w:ascii="ＭＳ 明朝" w:hAnsi="ＭＳ 明朝" w:eastAsia="ＭＳ 明朝"/>
          <w:b w:val="1"/>
          <w:sz w:val="28"/>
        </w:rPr>
      </w:pPr>
      <w:r>
        <w:rPr>
          <w:rFonts w:hint="eastAsia" w:ascii="ＭＳ ゴシック" w:hAnsi="ＭＳ ゴシック" w:eastAsia="ＭＳ ゴシック"/>
          <w:b w:val="0"/>
          <w:spacing w:val="140"/>
          <w:sz w:val="28"/>
          <w:fitText w:val="3640" w:id="1"/>
        </w:rPr>
        <w:t>業務委託契約</w:t>
      </w:r>
      <w:r>
        <w:rPr>
          <w:rFonts w:hint="eastAsia" w:ascii="ＭＳ ゴシック" w:hAnsi="ＭＳ ゴシック" w:eastAsia="ＭＳ ゴシック"/>
          <w:b w:val="0"/>
          <w:sz w:val="28"/>
          <w:fitText w:val="3640" w:id="1"/>
        </w:rPr>
        <w:t>書</w:t>
      </w:r>
    </w:p>
    <w:p>
      <w:pPr>
        <w:pStyle w:val="0"/>
        <w:spacing w:line="340" w:lineRule="exact"/>
        <w:ind w:left="194" w:hanging="194" w:hangingChars="94"/>
        <w:jc w:val="both"/>
        <w:rPr>
          <w:rFonts w:hint="default" w:ascii="ＭＳ 明朝" w:hAnsi="ＭＳ 明朝" w:eastAsia="ＭＳ 明朝"/>
          <w:b w:val="1"/>
          <w:sz w:val="21"/>
        </w:rPr>
      </w:pPr>
    </w:p>
    <w:p>
      <w:pPr>
        <w:pStyle w:val="0"/>
        <w:spacing w:line="360" w:lineRule="auto"/>
        <w:jc w:val="left"/>
        <w:rPr>
          <w:rFonts w:hint="eastAsia"/>
          <w:sz w:val="24"/>
        </w:rPr>
      </w:pPr>
      <w:r>
        <w:rPr>
          <w:rFonts w:hint="eastAsia"/>
          <w:sz w:val="24"/>
        </w:rPr>
        <w:t>１　委託番号及び</w:t>
      </w:r>
    </w:p>
    <w:p>
      <w:pPr>
        <w:pStyle w:val="0"/>
        <w:spacing w:line="360" w:lineRule="auto"/>
        <w:jc w:val="left"/>
        <w:rPr>
          <w:rFonts w:hint="eastAsia"/>
          <w:sz w:val="24"/>
        </w:rPr>
      </w:pPr>
      <w:r>
        <w:rPr>
          <w:rFonts w:hint="eastAsia"/>
          <w:sz w:val="24"/>
        </w:rPr>
        <w:t>　　委託件名</w:t>
      </w:r>
    </w:p>
    <w:p>
      <w:pPr>
        <w:pStyle w:val="0"/>
        <w:spacing w:line="360" w:lineRule="auto"/>
        <w:jc w:val="left"/>
        <w:rPr>
          <w:rFonts w:hint="eastAsia"/>
          <w:sz w:val="24"/>
        </w:rPr>
      </w:pPr>
      <w:r>
        <w:rPr>
          <w:rFonts w:hint="eastAsia"/>
          <w:sz w:val="24"/>
        </w:rPr>
        <w:t>２　委託場所　　土浦市　　　　地内</w:t>
      </w:r>
    </w:p>
    <w:p>
      <w:pPr>
        <w:pStyle w:val="0"/>
        <w:spacing w:line="360" w:lineRule="auto"/>
        <w:jc w:val="left"/>
        <w:rPr>
          <w:rFonts w:hint="eastAsia"/>
          <w:sz w:val="24"/>
        </w:rPr>
      </w:pPr>
      <w:r>
        <w:rPr>
          <w:rFonts w:hint="eastAsia"/>
          <w:sz w:val="24"/>
        </w:rPr>
        <w:t>３　履行期間　　自　　　　年　　　　月　　　　日</w:t>
      </w:r>
    </w:p>
    <w:p>
      <w:pPr>
        <w:pStyle w:val="0"/>
        <w:spacing w:line="360" w:lineRule="auto"/>
        <w:jc w:val="left"/>
        <w:rPr>
          <w:rFonts w:hint="eastAsia"/>
          <w:sz w:val="24"/>
        </w:rPr>
      </w:pPr>
      <w:r>
        <w:rPr>
          <w:rFonts w:hint="eastAsia"/>
          <w:sz w:val="24"/>
        </w:rPr>
        <w:t>　　　　　　　　至　　　　年　　　　月　　　　日　　　　　　日間</w:t>
      </w:r>
    </w:p>
    <w:p>
      <w:pPr>
        <w:pStyle w:val="0"/>
        <w:spacing w:line="360" w:lineRule="auto"/>
        <w:jc w:val="left"/>
        <w:rPr>
          <w:rFonts w:hint="eastAsia"/>
          <w:sz w:val="24"/>
        </w:rPr>
      </w:pPr>
      <w:r>
        <w:rPr>
          <w:rFonts w:hint="eastAsia"/>
          <w:sz w:val="32"/>
        </w:rPr>
        <w:t>４　業務委託料　　　別紙明細書の通り</w:t>
      </w:r>
    </w:p>
    <w:p>
      <w:pPr>
        <w:pStyle w:val="0"/>
        <w:spacing w:line="360" w:lineRule="auto"/>
        <w:jc w:val="left"/>
        <w:rPr>
          <w:rFonts w:hint="eastAsia"/>
          <w:sz w:val="24"/>
        </w:rPr>
      </w:pPr>
      <w:r>
        <w:rPr>
          <w:rFonts w:hint="eastAsia"/>
          <w:sz w:val="24"/>
        </w:rPr>
        <w:t>　　　　　　　</w:t>
      </w:r>
    </w:p>
    <w:p>
      <w:pPr>
        <w:pStyle w:val="0"/>
        <w:spacing w:line="360" w:lineRule="auto"/>
        <w:jc w:val="left"/>
        <w:rPr>
          <w:rFonts w:hint="eastAsia"/>
          <w:sz w:val="24"/>
        </w:rPr>
      </w:pPr>
      <w:r>
        <w:rPr>
          <w:rFonts w:hint="eastAsia"/>
          <w:sz w:val="24"/>
        </w:rPr>
        <w:t>５　前払金　なし</w:t>
      </w:r>
    </w:p>
    <w:p>
      <w:pPr>
        <w:pStyle w:val="0"/>
        <w:spacing w:line="360" w:lineRule="auto"/>
        <w:jc w:val="left"/>
        <w:rPr>
          <w:rFonts w:hint="eastAsia"/>
          <w:sz w:val="24"/>
        </w:rPr>
      </w:pPr>
      <w:r>
        <w:rPr>
          <w:rFonts w:hint="eastAsia"/>
          <w:sz w:val="24"/>
        </w:rPr>
        <w:t>６　支払回数　</w:t>
      </w:r>
    </w:p>
    <w:p>
      <w:pPr>
        <w:pStyle w:val="0"/>
        <w:spacing w:line="360" w:lineRule="auto"/>
        <w:jc w:val="left"/>
        <w:rPr>
          <w:rFonts w:hint="eastAsia"/>
          <w:sz w:val="24"/>
        </w:rPr>
      </w:pPr>
      <w:r>
        <w:rPr>
          <w:rFonts w:hint="eastAsia"/>
          <w:sz w:val="24"/>
        </w:rPr>
        <w:t>７　契約保証金　免除</w:t>
      </w:r>
    </w:p>
    <w:p>
      <w:pPr>
        <w:pStyle w:val="0"/>
        <w:spacing w:line="360" w:lineRule="auto"/>
        <w:jc w:val="left"/>
        <w:rPr>
          <w:rFonts w:hint="eastAsia"/>
          <w:sz w:val="24"/>
        </w:rPr>
      </w:pPr>
      <w:r>
        <w:rPr>
          <w:rFonts w:hint="eastAsia"/>
          <w:sz w:val="24"/>
        </w:rPr>
        <w:t>８　廃棄物の処理及び清掃に関する法律施行令第６条の２第４号該当</w:t>
      </w: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茨城県土浦市大和町９－１</w:t>
      </w:r>
    </w:p>
    <w:p>
      <w:pPr>
        <w:pStyle w:val="0"/>
        <w:ind w:firstLine="240" w:firstLineChars="100"/>
        <w:jc w:val="left"/>
        <w:rPr>
          <w:rFonts w:hint="eastAsia"/>
          <w:sz w:val="24"/>
        </w:rPr>
      </w:pPr>
      <w:r>
        <w:rPr>
          <w:rFonts w:hint="eastAsia"/>
          <w:sz w:val="24"/>
        </w:rPr>
        <w:t>　　　　発注者　　代表者名　土浦市　市長　安藤　真理子</w:t>
      </w:r>
    </w:p>
    <w:p>
      <w:pPr>
        <w:pStyle w:val="0"/>
        <w:ind w:firstLine="240" w:firstLineChars="100"/>
        <w:jc w:val="left"/>
        <w:rPr>
          <w:rFonts w:hint="eastAsia"/>
          <w:sz w:val="24"/>
        </w:rPr>
      </w:pP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sz w:val="24"/>
        </w:rPr>
      </w:pPr>
      <w:r>
        <w:rPr>
          <w:rFonts w:hint="eastAsia"/>
          <w:sz w:val="24"/>
        </w:rPr>
        <w:t>　　　　　　　　　代表者名</w:t>
      </w:r>
    </w:p>
    <w:p>
      <w:pPr>
        <w:pStyle w:val="0"/>
        <w:spacing w:line="340" w:lineRule="exact"/>
        <w:ind w:left="194" w:hanging="194" w:hangingChars="94"/>
        <w:jc w:val="center"/>
        <w:rPr>
          <w:rFonts w:hint="eastAsia"/>
          <w:sz w:val="32"/>
        </w:rPr>
      </w:pPr>
      <w:r>
        <w:rPr>
          <w:rFonts w:hint="eastAsia"/>
        </w:rPr>
        <w:br w:type="page"/>
      </w:r>
      <w:r>
        <w:rPr>
          <w:rFonts w:hint="eastAsia"/>
          <w:spacing w:val="320"/>
          <w:sz w:val="32"/>
          <w:fitText w:val="2240" w:id="2"/>
        </w:rPr>
        <w:t>明細</w:t>
      </w:r>
      <w:r>
        <w:rPr>
          <w:rFonts w:hint="eastAsia"/>
          <w:sz w:val="32"/>
          <w:fitText w:val="2240" w:id="2"/>
        </w:rPr>
        <w:t>書</w:t>
      </w:r>
    </w:p>
    <w:p>
      <w:pPr>
        <w:pStyle w:val="0"/>
        <w:jc w:val="center"/>
        <w:rPr>
          <w:rFonts w:hint="eastAsia"/>
          <w:sz w:val="32"/>
        </w:rPr>
      </w:pPr>
    </w:p>
    <w:p>
      <w:pPr>
        <w:pStyle w:val="0"/>
        <w:rPr>
          <w:rFonts w:hint="eastAsia"/>
          <w:sz w:val="24"/>
        </w:rPr>
      </w:pPr>
      <w:r>
        <w:rPr>
          <w:rFonts w:hint="eastAsia"/>
          <w:sz w:val="24"/>
        </w:rPr>
        <w:t>件名　</w:t>
      </w:r>
    </w:p>
    <w:p>
      <w:pPr>
        <w:pStyle w:val="0"/>
        <w:jc w:val="right"/>
        <w:rPr>
          <w:rFonts w:hint="eastAsia"/>
          <w:sz w:val="24"/>
        </w:rPr>
      </w:pPr>
      <w:r>
        <w:rPr>
          <w:rFonts w:hint="eastAsia"/>
          <w:sz w:val="24"/>
        </w:rPr>
        <w:t>（単価額は消費税及び地方消費税を抜いた額）</w:t>
      </w:r>
    </w:p>
    <w:tbl>
      <w:tblPr>
        <w:tblStyle w:val="30"/>
        <w:tblpPr w:leftFromText="142" w:rightFromText="142" w:topFromText="0" w:bottomFromText="0" w:vertAnchor="text" w:horzAnchor="text" w:tblpX="-238" w:tblpY="58"/>
        <w:tblW w:w="0" w:type="auto"/>
        <w:tblLayout w:type="fixed"/>
        <w:tblLook w:firstRow="1" w:lastRow="0" w:firstColumn="1" w:lastColumn="0" w:noHBand="0" w:noVBand="1" w:val="04A0"/>
      </w:tblPr>
      <w:tblGrid>
        <w:gridCol w:w="2725"/>
        <w:gridCol w:w="3150"/>
        <w:gridCol w:w="1371"/>
        <w:gridCol w:w="1989"/>
      </w:tblGrid>
      <w:tr>
        <w:trPr>
          <w:trHeight w:val="723" w:hRule="atLeast"/>
        </w:trPr>
        <w:tc>
          <w:tcPr>
            <w:tcW w:w="2725"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品名</w:t>
            </w:r>
          </w:p>
        </w:tc>
        <w:tc>
          <w:tcPr>
            <w:tcW w:w="3150"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規格</w:t>
            </w:r>
          </w:p>
        </w:tc>
        <w:tc>
          <w:tcPr>
            <w:tcW w:w="137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rPr>
              <w:t>単位</w:t>
            </w:r>
          </w:p>
        </w:tc>
        <w:tc>
          <w:tcPr>
            <w:tcW w:w="1989"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eastAsia"/>
                <w:sz w:val="24"/>
              </w:rPr>
            </w:pPr>
            <w:r>
              <w:rPr>
                <w:rFonts w:hint="eastAsia"/>
                <w:sz w:val="24"/>
              </w:rPr>
              <w:t>単価額</w:t>
            </w:r>
          </w:p>
          <w:p>
            <w:pPr>
              <w:pStyle w:val="0"/>
              <w:jc w:val="center"/>
              <w:rPr>
                <w:rFonts w:hint="eastAsia"/>
                <w:sz w:val="24"/>
              </w:rPr>
            </w:pPr>
            <w:r>
              <w:rPr>
                <w:rFonts w:hint="eastAsia"/>
                <w:sz w:val="24"/>
              </w:rPr>
              <w:t>（単位：円）</w:t>
            </w:r>
          </w:p>
        </w:tc>
      </w:tr>
      <w:tr>
        <w:trPr>
          <w:trHeight w:val="936"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37"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35"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35"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37"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35"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52"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52"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52" w:hRule="atLeast"/>
        </w:trPr>
        <w:tc>
          <w:tcPr>
            <w:tcW w:w="272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0" w:type="dxa"/>
            <w:vAlign w:val="top"/>
          </w:tcPr>
          <w:p>
            <w:pPr>
              <w:pStyle w:val="0"/>
              <w:rPr>
                <w:rFonts w:hint="eastAsia"/>
              </w:rPr>
            </w:pPr>
          </w:p>
        </w:tc>
        <w:tc>
          <w:tcPr>
            <w:tcW w:w="1371" w:type="dxa"/>
            <w:vAlign w:val="top"/>
          </w:tcPr>
          <w:p>
            <w:pPr>
              <w:pStyle w:val="0"/>
              <w:rPr>
                <w:rFonts w:hint="eastAsia"/>
              </w:rPr>
            </w:pPr>
          </w:p>
        </w:tc>
        <w:tc>
          <w:tcPr>
            <w:tcW w:w="1989"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rPr>
            </w:pPr>
          </w:p>
        </w:tc>
      </w:tr>
      <w:tr>
        <w:trPr>
          <w:trHeight w:val="952" w:hRule="atLeast"/>
        </w:trPr>
        <w:tc>
          <w:tcPr>
            <w:tcW w:w="2725"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rPr>
                <w:rFonts w:hint="eastAsia"/>
              </w:rPr>
            </w:pPr>
          </w:p>
        </w:tc>
        <w:tc>
          <w:tcPr>
            <w:tcW w:w="315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eastAsia"/>
              </w:rPr>
            </w:pPr>
          </w:p>
        </w:tc>
        <w:tc>
          <w:tcPr>
            <w:tcW w:w="1371"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eastAsia"/>
              </w:rPr>
            </w:pPr>
          </w:p>
        </w:tc>
        <w:tc>
          <w:tcPr>
            <w:tcW w:w="1989"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rPr>
                <w:rFonts w:hint="eastAsia"/>
              </w:rPr>
            </w:pPr>
          </w:p>
        </w:tc>
      </w:tr>
    </w:tbl>
    <w:p>
      <w:pPr>
        <w:pStyle w:val="0"/>
        <w:rPr>
          <w:rFonts w:hint="eastAsia"/>
          <w:sz w:val="24"/>
        </w:rPr>
      </w:pP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jc w:val="left"/>
        <w:rPr>
          <w:rFonts w:hint="default" w:ascii="ＭＳ 明朝" w:hAnsi="ＭＳ 明朝" w:eastAsia="ＭＳ 明朝"/>
          <w:b w:val="1"/>
          <w:sz w:val="21"/>
        </w:rPr>
      </w:pPr>
      <w:r>
        <w:rPr>
          <w:rFonts w:hint="eastAsia"/>
        </w:rPr>
        <w:br w:type="page"/>
      </w:r>
    </w:p>
    <w:p>
      <w:pPr>
        <w:pStyle w:val="0"/>
        <w:spacing w:line="340" w:lineRule="exact"/>
        <w:ind w:left="194" w:hanging="194" w:hangingChars="94"/>
        <w:jc w:val="left"/>
        <w:rPr>
          <w:rFonts w:hint="default" w:ascii="ＭＳ 明朝" w:hAnsi="ＭＳ 明朝" w:eastAsia="ＭＳ 明朝"/>
          <w:b w:val="1"/>
          <w:sz w:val="21"/>
        </w:rPr>
      </w:pPr>
      <w:r>
        <w:rPr>
          <w:rFonts w:hint="eastAsia" w:ascii="ＭＳ 明朝" w:hAnsi="ＭＳ 明朝" w:eastAsia="ＭＳ 明朝"/>
          <w:b w:val="1"/>
          <w:sz w:val="21"/>
        </w:rPr>
        <w:t>産業廃棄物処理特約事項</w:t>
      </w:r>
    </w:p>
    <w:p>
      <w:pPr>
        <w:pStyle w:val="0"/>
        <w:spacing w:line="340" w:lineRule="exact"/>
        <w:ind w:left="0" w:leftChars="0"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発注者（排出事業者）と受注者（収集運搬業者）は、本契約の委託に関し、仕様書に示す発注者の事業場から排出される産業廃棄物の収集運搬について次の事項について特約事項として締結する。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（受注者の事業範囲）</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第１条　受注者の事業範囲は以下の通りである。受注者はこの事業範囲を証するものとして、許可証の写しを発注者に提出し、本契約書に添付するものとする。なお、許可事項に変更があったときは速やかにその旨を発注者に通知するともに、変更後の許可証の写しを発注者に提出し、本契約書に添付する。</w:t>
      </w:r>
    </w:p>
    <w:tbl>
      <w:tblPr>
        <w:tblStyle w:val="30"/>
        <w:tblW w:w="0" w:type="auto"/>
        <w:tblInd w:w="0" w:type="dxa"/>
        <w:tblLayout w:type="fixed"/>
        <w:tblLook w:firstRow="1" w:lastRow="0" w:firstColumn="1" w:lastColumn="0" w:noHBand="0" w:noVBand="1" w:val="04A0"/>
      </w:tblPr>
      <w:tblGrid>
        <w:gridCol w:w="3000"/>
        <w:gridCol w:w="3000"/>
        <w:gridCol w:w="3000"/>
      </w:tblGrid>
      <w:tr>
        <w:trPr>
          <w:trHeight w:val="640" w:hRule="atLeast"/>
        </w:trPr>
        <w:tc>
          <w:tcPr>
            <w:tcW w:w="300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3000" w:type="dxa"/>
            <w:vAlign w:val="center"/>
          </w:tcPr>
          <w:p>
            <w:pPr>
              <w:pStyle w:val="0"/>
              <w:jc w:val="center"/>
              <w:rPr>
                <w:rFonts w:hint="eastAsia"/>
              </w:rPr>
            </w:pPr>
            <w:r>
              <w:rPr>
                <w:rFonts w:hint="eastAsia"/>
              </w:rPr>
              <w:t>積み込み場所</w:t>
            </w:r>
          </w:p>
        </w:tc>
        <w:tc>
          <w:tcPr>
            <w:tcW w:w="3000" w:type="dxa"/>
            <w:vAlign w:val="center"/>
          </w:tcPr>
          <w:p>
            <w:pPr>
              <w:pStyle w:val="0"/>
              <w:jc w:val="center"/>
              <w:rPr>
                <w:rFonts w:hint="eastAsia"/>
              </w:rPr>
            </w:pPr>
            <w:r>
              <w:rPr>
                <w:rFonts w:hint="eastAsia"/>
              </w:rPr>
              <w:t>荷下ろし場所</w:t>
            </w:r>
          </w:p>
        </w:tc>
      </w:tr>
      <w:tr>
        <w:trPr>
          <w:trHeight w:val="530" w:hRule="atLeast"/>
        </w:trPr>
        <w:tc>
          <w:tcPr>
            <w:tcW w:w="3000" w:type="dxa"/>
            <w:vAlign w:val="center"/>
          </w:tcPr>
          <w:p>
            <w:pPr>
              <w:pStyle w:val="0"/>
              <w:jc w:val="both"/>
              <w:rPr>
                <w:rFonts w:hint="eastAsia"/>
              </w:rPr>
            </w:pPr>
            <w:r>
              <w:rPr>
                <w:rFonts w:hint="eastAsia"/>
              </w:rPr>
              <w:t>許可番号及び</w:t>
            </w:r>
          </w:p>
          <w:p>
            <w:pPr>
              <w:pStyle w:val="0"/>
              <w:jc w:val="both"/>
              <w:rPr>
                <w:rFonts w:hint="eastAsia"/>
              </w:rPr>
            </w:pPr>
            <w:r>
              <w:rPr>
                <w:rFonts w:hint="eastAsia"/>
              </w:rPr>
              <w:t>許可都道府県等</w:t>
            </w:r>
          </w:p>
        </w:tc>
        <w:tc>
          <w:tcPr>
            <w:tcW w:w="3000" w:type="dxa"/>
            <w:vAlign w:val="top"/>
          </w:tcPr>
          <w:p>
            <w:pPr>
              <w:pStyle w:val="0"/>
              <w:rPr>
                <w:rFonts w:hint="eastAsia"/>
              </w:rPr>
            </w:pPr>
          </w:p>
        </w:tc>
        <w:tc>
          <w:tcPr>
            <w:tcW w:w="3000" w:type="dxa"/>
            <w:vAlign w:val="top"/>
          </w:tcPr>
          <w:p>
            <w:pPr>
              <w:pStyle w:val="0"/>
              <w:rPr>
                <w:rFonts w:hint="eastAsia"/>
              </w:rPr>
            </w:pPr>
          </w:p>
        </w:tc>
      </w:tr>
      <w:tr>
        <w:trPr>
          <w:trHeight w:val="1834" w:hRule="atLeast"/>
        </w:trPr>
        <w:tc>
          <w:tcPr>
            <w:tcW w:w="3000" w:type="dxa"/>
            <w:vAlign w:val="center"/>
          </w:tcPr>
          <w:p>
            <w:pPr>
              <w:pStyle w:val="0"/>
              <w:jc w:val="both"/>
              <w:rPr>
                <w:rFonts w:hint="eastAsia"/>
              </w:rPr>
            </w:pPr>
            <w:r>
              <w:rPr>
                <w:rFonts w:hint="eastAsia"/>
              </w:rPr>
              <w:t>許可品目</w:t>
            </w:r>
          </w:p>
        </w:tc>
        <w:tc>
          <w:tcPr>
            <w:tcW w:w="3000" w:type="dxa"/>
            <w:vAlign w:val="top"/>
          </w:tcPr>
          <w:p>
            <w:pPr>
              <w:pStyle w:val="0"/>
              <w:rPr>
                <w:rFonts w:hint="eastAsia"/>
              </w:rPr>
            </w:pPr>
          </w:p>
        </w:tc>
        <w:tc>
          <w:tcPr>
            <w:tcW w:w="3000"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（委託する産業廃棄物の種類及び数量）</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第２条　発注者が受注者に収集・運搬を委託する産業廃棄物の種類及び数量は次のとおりとする。</w:t>
      </w:r>
    </w:p>
    <w:tbl>
      <w:tblPr>
        <w:tblStyle w:val="30"/>
        <w:tblW w:w="0" w:type="auto"/>
        <w:tblInd w:w="0" w:type="dxa"/>
        <w:tblLayout w:type="fixed"/>
        <w:tblLook w:firstRow="1" w:lastRow="0" w:firstColumn="1" w:lastColumn="0" w:noHBand="0" w:noVBand="1" w:val="04A0"/>
      </w:tblPr>
      <w:tblGrid>
        <w:gridCol w:w="4501"/>
        <w:gridCol w:w="4501"/>
      </w:tblGrid>
      <w:tr>
        <w:trPr/>
        <w:tc>
          <w:tcPr>
            <w:tcW w:w="4501" w:type="dxa"/>
            <w:vAlign w:val="center"/>
          </w:tcPr>
          <w:p>
            <w:pPr>
              <w:pStyle w:val="0"/>
              <w:jc w:val="center"/>
              <w:rPr>
                <w:rFonts w:hint="eastAsia"/>
              </w:rPr>
            </w:pPr>
            <w:r>
              <w:rPr>
                <w:rFonts w:hint="eastAsia"/>
              </w:rPr>
              <w:t>種類</w:t>
            </w:r>
          </w:p>
        </w:tc>
        <w:tc>
          <w:tcPr>
            <w:tcW w:w="4501" w:type="dxa"/>
            <w:vAlign w:val="center"/>
          </w:tcPr>
          <w:p>
            <w:pPr>
              <w:pStyle w:val="0"/>
              <w:jc w:val="center"/>
              <w:rPr>
                <w:rFonts w:hint="eastAsia"/>
              </w:rPr>
            </w:pPr>
            <w:r>
              <w:rPr>
                <w:rFonts w:hint="eastAsia"/>
              </w:rPr>
              <w:t>数量（単位）</w:t>
            </w: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（運搬の最終目的地）</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第３条　受注者は、発注者から委託された前項の産業廃棄物を、発注者の指定する次の最終目的地に搬入する。</w:t>
      </w:r>
    </w:p>
    <w:tbl>
      <w:tblPr>
        <w:tblStyle w:val="30"/>
        <w:tblW w:w="0" w:type="auto"/>
        <w:tblInd w:w="0" w:type="dxa"/>
        <w:tblLayout w:type="fixed"/>
        <w:tblLook w:firstRow="1" w:lastRow="0" w:firstColumn="1" w:lastColumn="0" w:noHBand="0" w:noVBand="1" w:val="04A0"/>
      </w:tblPr>
      <w:tblGrid>
        <w:gridCol w:w="2515"/>
        <w:gridCol w:w="6487"/>
      </w:tblGrid>
      <w:tr>
        <w:trPr/>
        <w:tc>
          <w:tcPr>
            <w:tcW w:w="2515" w:type="dxa"/>
            <w:vAlign w:val="center"/>
          </w:tcPr>
          <w:p>
            <w:pPr>
              <w:pStyle w:val="0"/>
              <w:jc w:val="both"/>
              <w:rPr>
                <w:rFonts w:hint="eastAsia"/>
              </w:rPr>
            </w:pPr>
            <w:r>
              <w:rPr>
                <w:rFonts w:hint="eastAsia"/>
              </w:rPr>
              <w:t>氏名・名称（法人名）</w:t>
            </w:r>
          </w:p>
          <w:p>
            <w:pPr>
              <w:pStyle w:val="0"/>
              <w:jc w:val="both"/>
              <w:rPr>
                <w:rFonts w:hint="eastAsia"/>
              </w:rPr>
            </w:pPr>
            <w:r>
              <w:rPr>
                <w:rFonts w:hint="eastAsia"/>
              </w:rPr>
              <w:t>及び住所</w:t>
            </w:r>
          </w:p>
        </w:tc>
        <w:tc>
          <w:tcPr>
            <w:tcW w:w="6487" w:type="dxa"/>
            <w:vAlign w:val="top"/>
          </w:tcPr>
          <w:p>
            <w:pPr>
              <w:pStyle w:val="0"/>
              <w:rPr>
                <w:rFonts w:hint="eastAsia"/>
              </w:rPr>
            </w:pPr>
          </w:p>
        </w:tc>
      </w:tr>
      <w:tr>
        <w:trPr/>
        <w:tc>
          <w:tcPr>
            <w:tcW w:w="2515" w:type="dxa"/>
            <w:vAlign w:val="center"/>
          </w:tcPr>
          <w:p>
            <w:pPr>
              <w:pStyle w:val="0"/>
              <w:jc w:val="both"/>
              <w:rPr>
                <w:rFonts w:hint="eastAsia"/>
              </w:rPr>
            </w:pPr>
            <w:r>
              <w:rPr>
                <w:rFonts w:hint="eastAsia"/>
              </w:rPr>
              <w:t>許可番号及び</w:t>
            </w:r>
          </w:p>
          <w:p>
            <w:pPr>
              <w:pStyle w:val="0"/>
              <w:jc w:val="both"/>
              <w:rPr>
                <w:rFonts w:hint="eastAsia"/>
              </w:rPr>
            </w:pPr>
            <w:r>
              <w:rPr>
                <w:rFonts w:hint="eastAsia"/>
              </w:rPr>
              <w:t>許可都道府県名</w:t>
            </w:r>
          </w:p>
        </w:tc>
        <w:tc>
          <w:tcPr>
            <w:tcW w:w="6487" w:type="dxa"/>
            <w:vAlign w:val="top"/>
          </w:tcPr>
          <w:p>
            <w:pPr>
              <w:pStyle w:val="0"/>
              <w:rPr>
                <w:rFonts w:hint="eastAsia"/>
              </w:rPr>
            </w:pPr>
          </w:p>
        </w:tc>
      </w:tr>
      <w:tr>
        <w:trPr>
          <w:trHeight w:val="758" w:hRule="atLeast"/>
        </w:trPr>
        <w:tc>
          <w:tcPr>
            <w:tcW w:w="2515" w:type="dxa"/>
            <w:vAlign w:val="center"/>
          </w:tcPr>
          <w:p>
            <w:pPr>
              <w:pStyle w:val="0"/>
              <w:jc w:val="both"/>
              <w:rPr>
                <w:rFonts w:hint="eastAsia"/>
              </w:rPr>
            </w:pPr>
            <w:r>
              <w:rPr>
                <w:rFonts w:hint="eastAsia"/>
              </w:rPr>
              <w:t>事業場の名称・住所</w:t>
            </w:r>
          </w:p>
        </w:tc>
        <w:tc>
          <w:tcPr>
            <w:tcW w:w="6487" w:type="dxa"/>
            <w:vAlign w:val="top"/>
          </w:tcPr>
          <w:p>
            <w:pPr>
              <w:pStyle w:val="0"/>
              <w:rPr>
                <w:rFonts w:hint="eastAsia"/>
              </w:rPr>
            </w:pPr>
          </w:p>
        </w:tc>
      </w:tr>
      <w:tr>
        <w:trPr>
          <w:trHeight w:val="520" w:hRule="atLeast"/>
        </w:trPr>
        <w:tc>
          <w:tcPr>
            <w:tcW w:w="2515" w:type="dxa"/>
            <w:vAlign w:val="center"/>
          </w:tcPr>
          <w:p>
            <w:pPr>
              <w:pStyle w:val="0"/>
              <w:jc w:val="both"/>
              <w:rPr>
                <w:rFonts w:hint="eastAsia"/>
              </w:rPr>
            </w:pPr>
            <w:r>
              <w:rPr>
                <w:rFonts w:hint="eastAsia"/>
              </w:rPr>
              <w:t>処分方法</w:t>
            </w:r>
          </w:p>
        </w:tc>
        <w:tc>
          <w:tcPr>
            <w:tcW w:w="6487"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（積替保管）</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第４条　受注者は、発注者から委託された産業廃棄物の積替えを行わない。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（適正処理に必要な情報）</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第５条　発注者は、産業廃棄物の適正な処理のために必要な以下の情報を、あらかじめ書面をもって受注者に提供しなければならない。以下の情報を具体化した「廃棄物データシート」（環境省の「廃棄物情報の提供に関するガイドライン」を参照）の項目を参考に書面の作成を行うものとす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ア　産業廃棄物の発生工程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イ　産業廃棄物の性状及び荷姿</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ウ　腐敗、揮発等性状の変化に関する事項</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エ　混合等により生ずる支障</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オ　日本産業規格Ｃ</w:t>
      </w:r>
      <w:r>
        <w:rPr>
          <w:rFonts w:hint="eastAsia" w:ascii="ＭＳ 明朝" w:hAnsi="ＭＳ 明朝" w:eastAsia="ＭＳ 明朝"/>
          <w:b w:val="0"/>
          <w:sz w:val="21"/>
        </w:rPr>
        <w:t>0950</w:t>
      </w:r>
      <w:r>
        <w:rPr>
          <w:rFonts w:hint="eastAsia" w:ascii="ＭＳ 明朝" w:hAnsi="ＭＳ 明朝" w:eastAsia="ＭＳ 明朝"/>
          <w:b w:val="0"/>
          <w:sz w:val="21"/>
        </w:rPr>
        <w:t>号に規定する含有マークが付された廃製品の場合には、含有マーク表示に関する事項</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カ　石綿含有産業廃棄物又は特定産業廃棄物、水銀使用製品産業廃棄物又は水銀含有ばいじん等が含まれる場合は、その事項</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キ　その他取扱いの注意事項</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２　発注者は、委託契約期間中、適正な処理及び事故防止並びに処理費用等の観点から、委託する産業廃棄物の性状等の変更があった場合は、受注者に対し速やかに書面をもってその変更の内容及び程度の情報を通知する。なお、受注者の業務及び処理方法に支障を生ずるおそれのある場合の性状等の変動幅は、製造工程又は産業廃棄物の発生工程の変更による性状の変更や腐敗等の変化、混入物の発生等の場合であり、発注者と受注者は通知する変動幅の範囲について、あらかじめ協議のうえ定めることとする。</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３　発注者は、委託する産業廃棄物の性状が書面の情報のとおりであることを確認し、受注者に引き渡す容器等に表示する（環境省の「廃棄物情報の提供に関するガイドライン」の「容器貼付用ラベル」参照）。</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４　発注者は、委託する産業廃棄物のマニフェストの記載事項を正確にもれなく記載し、虚偽又は記載漏れがある場合は、受注者は委託物の引き取りを一時停止しマニフェストの記載修正を発注者に求め、修正内容を確認の上、委託物を引き取ることとする。</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（責任範囲）</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第６条　受注者は、発注者から委託された産業廃棄物を、その積み込み作業の開始から、第３条に規定する運搬の最終目的地における荷下ろし作業の完了まで、法令に基づき適正に収集・運搬しなければならない。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２　受注者が、前項の業務の過程において法令に違反した業務を行い、又は過失によって発注者又は第三者に損害を及ぼしたときは、受注者においてその損害を賠償し、発注者に負担させない。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３　受注者が第１項の業務の過程において第三者に損害を及ぼした場合に、発注者の指図又は発注者の委託の仕方（発注者の委託した産業廃棄物の種類又は性状等による原因を含む。）に原因があるときは、発注者において賠償し、受注者に負担させ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４　第１項の業務の過程において受注者に損害が発生した場合に、発注者の指図又は発注者の委託の仕方（発注者の委託した産業廃棄物の種類又は性状等による原因を含む。）に原因がある場合は、発注者が受注者にその損害を賠償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（再委託の禁止）</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第７条　受注者は、発注者から委託された産業廃棄物の収集・運搬業務を他人に委託してはならない。ただし、発注者の書面による承諾を得て法令に定める再委託の基準に従う場合は、この限りではない。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（委託業務終了報告）</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第８条　受注者は発注者から委託された産業廃棄物の業務が終了した後、直ちに業務終了報告書を作成し、発注者に提出する。ただし、業務終了報告書は収集・運搬業務については、それぞれの運搬区間に応じたマニフェストＢ２票、Ｂ４票、Ｂ６票、又は電子マニフェストの運搬終了報告で代えることができ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（業務の一時停止）</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第９条　受注者は、発注者から委託された産業廃棄物の適正処理を行うことが困難になり、又は困難となる恐れがある事由として、産業廃棄物の処理及び清掃に関する法律施行規則第１０条の６の２等に定める事由が生じたときは、直ちに当該委託に係る業務を一時停止し、同法第１４条第１３項等の規定に基づき、遅滞なくその旨を書面により発注者に通知しなければなら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２　発注者は、前項の通知を受けたときは、速やかに当該委託に係る産業廃棄物の処理の状況を把握する等、廃棄物の処理及び清掃に関する法律第１２条の３第８項に定める措置を講じるとともに、通知を発出した受注者が処理を適切に行えるようになるまでの間、受注者に新たな処理委託を行わない等の必要な措置を講じなければなら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（契約を解除した場合の産業廃棄物の取り扱い）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第１０条　発注者又は受注者から本契約及び本特約条項を解除した場合に、本契約又は本特約条項に基づいて発注者から引き渡しを受けた産業廃棄物の処理が未だに完了していないものがあるときは、受注者又は発注者は、次の措置を講じ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（１）受注者の義務違反により発注者が解除した場合</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イ　受注者は、解除された後も、その産業廃棄物に対する本契約及び本特約条項に基づく受注者の業務を遂行する責任は免れないことを承知し、その残っている産業廃棄物についての収集・運搬の業務を自ら実行するか、又は発注者の承諾を得た上、許可を有する別の業者に自己の費用をもって行わせ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ロ　受注者が他の業者に委託する場合に、その業者に対する費用を支払う資金が受注者にないときには、受注者はその旨を発注者に通知し、資金のないことを明確にしなければならない。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ハ　上記ロの場合、発注者は、当該業者に対し、差し当たり、発注者の費用負担をもって、受注者のもとにある未処理の産業廃棄物の収集・運搬を行わしめるものとし、受注者に対して発注者が負担した費用を償還を請求することができ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（２）発注者の義務違反により受注者が解除した場合</w:t>
      </w:r>
    </w:p>
    <w:p>
      <w:pPr>
        <w:pStyle w:val="0"/>
        <w:spacing w:line="340" w:lineRule="exact"/>
        <w:ind w:left="0" w:leftChars="0"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受注者は発注者に対し、発注者の義務違反による損害の賠償を請求するとともに、受注者のもとにある未処理の産業廃棄物を、発注者の費用をもって当該産業廃棄物を引き取ることを要求し、もしくは受注者の費用負担をもってら発注者の事業場に運搬した上、発注者に対し当該運搬の費用を請求することができ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（特約事項の優先的効力）</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第１１条　この特約事項と本契約とで抵触する規定がある場合には、この特約事項の規定を優先的に適用するものとする。</w:t>
      </w:r>
    </w:p>
    <w:p>
      <w:pPr>
        <w:pStyle w:val="0"/>
        <w:spacing w:line="340" w:lineRule="exact"/>
        <w:ind w:left="194" w:hanging="194" w:hangingChars="94"/>
        <w:jc w:val="left"/>
        <w:rPr>
          <w:rFonts w:hint="eastAsia" w:ascii="ＭＳ 明朝" w:hAnsi="ＭＳ 明朝" w:eastAsia="ＭＳ 明朝"/>
        </w:rPr>
      </w:pPr>
      <w:r>
        <w:rPr>
          <w:rFonts w:hint="eastAsia"/>
        </w:rPr>
        <w:br w:type="page"/>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発注者は、その意図する成果物を完成させるため、業務に関する指示を受注者対して行うことができる。この場合において、受注者は、当該指示に従い業務を行わなければならない。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w:t>
      </w:r>
      <w:r>
        <w:rPr>
          <w:rFonts w:hint="eastAsia" w:ascii="ＭＳ 明朝" w:hAnsi="ＭＳ 明朝" w:eastAsia="ＭＳ 明朝"/>
        </w:rPr>
        <w:t>2</w:t>
      </w:r>
      <w:r>
        <w:rPr>
          <w:rFonts w:hint="eastAsia" w:ascii="ＭＳ 明朝" w:hAnsi="ＭＳ 明朝" w:eastAsia="ＭＳ 明朝"/>
        </w:rPr>
        <w:t>項の規定にかかわらず、指示等の内容が軽微なものについては、口頭で行うことができる。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（著作権の譲渡等）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及び第８条の２において同じ。）が著作権法（昭和４５年法律第４８号）第２条第１項第１号に規定する著作物（以下この条において「著作物」という。）に該当する場合には、当該著作物に係る受注者の著作権（著作権法第２１条から第２８条までに規定する権利をいう。）を当該著作物の引渡し時に発注者に無償で譲渡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（意匠の実施の承諾等）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受注者は、本件構造物等の形状等に係る意匠法第３条に基づく意匠登録を受ける権利を発注者に無償で譲渡するものとする。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（発注者の監督権）</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第９条</w:t>
      </w:r>
      <w:r>
        <w:rPr>
          <w:rFonts w:hint="eastAsia" w:ascii="ＭＳ 明朝" w:hAnsi="ＭＳ 明朝" w:eastAsia="ＭＳ 明朝"/>
        </w:rPr>
        <w:t>　発注者は、必要があるときは、受注者に対して委託業務の状況については調査し、又は報告を求めることができる。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第１０条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発注者は、前項の検査によって業務の完了を確認した後、受注者が成果物の引渡しを申し出たときは、直ちに当該成果物の引渡しを受けなければならない。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（引渡し前における成果物の使用）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発注者は、第３２条第３項若しくは第４項又は第３８条第１項若しくは第２項の規定による引渡し前においても、成果物の全部又は一部を受注者の承諾を得て使用することができる。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発注者は、第１項の規定により成果物の全部又は一部を使用したことによって受注者に損害を及ぼしたときは、必要な費用を負担しなければならない。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第３５条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第３６条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削除</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部分払金の額≦第１項の業務委託料相当額×（９／１０－前払金額／業務委託料）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指定部分に相応する業務委託料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引渡部分に相応する業務委託料</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７条の２又は第３８条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履行の追完が不能であるとき。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585" w:leftChars="50" w:hanging="482" w:hangingChars="23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ロ　役員等が、自己、自社若しくは第三者の不正の利益を図る目的又は第三者に損害を加える目的をもって、暴力団又は暴力団員を利用するなどしていると認められるとき。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ハ　役員等が、暴力団又は暴力団員に対して資金等を供給し、又は便宜を供与するなど直接的あるいは積極的に暴力団の維持、運営に協力し、若しくは関与していると認められるとき。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ニ　役員等が、暴力団又は暴力団員であることを知りながらこれを不当に利用するなどしていると認められるとき。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ホ　役員等が、暴力団又は暴力団員と社会的に非難されるべき関係を有していると認められるとき。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ヘ　再委託契約その他の契約に当たり、その相手方がイからホまでのいずれかに該当することを知りながら、当該者と契約を締結したと認められるとき。</w:t>
      </w:r>
    </w:p>
    <w:p>
      <w:pPr>
        <w:pStyle w:val="0"/>
        <w:spacing w:line="340" w:lineRule="exact"/>
        <w:ind w:left="1030" w:leftChars="400" w:hanging="206" w:hangingChars="100"/>
        <w:rPr>
          <w:rFonts w:hint="default" w:ascii="ＭＳ 明朝" w:hAnsi="ＭＳ 明朝" w:eastAsia="ＭＳ 明朝"/>
          <w:b w:val="0"/>
        </w:rPr>
      </w:pPr>
      <w:r>
        <w:rPr>
          <w:rFonts w:hint="eastAsia" w:ascii="ＭＳ 明朝" w:hAnsi="ＭＳ 明朝" w:eastAsia="ＭＳ 明朝"/>
          <w:b w:val="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この契約が解除された場合には、第１条第２項に規定する発注者及び受注者の義務は消滅する。ただし、第３８条に規定する部分引渡しに係る部分については、この限りでない。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前項に規定する既履行部分委託料は、発注者と受注者とが協議して定める。ただし、協議開始の日から１４日以内に協議が整わない場合には、発注者が定め、受注者に通知する。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１項後段及び第４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６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（２）この契約の成果物に契約不適合があるとき。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（３）第４３条又は第４４条の規定により成果物の引渡し後にこの契約が解除されたとき。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（１）第４３条又は第４４条の規定により成果物の引渡し前にこの契約が解除されたとき。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３．０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３．０パーセントの割合で計算した額の遅延利息の支払いを発注者に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は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受注者の使用人又は受注者から業務を委任され、又は請け負った者の業務の実施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w:t>
      </w:r>
      <w:bookmarkStart w:id="0" w:name="_GoBack"/>
      <w:bookmarkEnd w:id="0"/>
      <w:r>
        <w:rPr>
          <w:rFonts w:hint="eastAsia"/>
          <w:sz w:val="21"/>
        </w:rPr>
        <w:t>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ind w:left="226" w:hanging="226" w:hangingChars="100"/>
        <w:rPr>
          <w:rFonts w:hint="default" w:ascii="ＭＳ 明朝" w:hAnsi="ＭＳ 明朝" w:eastAsia="ＭＳ 明朝"/>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spacing w:line="340" w:lineRule="exact"/>
        <w:jc w:val="right"/>
        <w:rPr>
          <w:rFonts w:hint="default" w:ascii="ＭＳ 明朝" w:hAnsi="ＭＳ 明朝" w:eastAsia="ＭＳ 明朝"/>
          <w:bdr w:val="single" w:color="auto" w:sz="4" w:space="0"/>
        </w:rPr>
      </w:pP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94" w:hanging="194" w:hangingChars="94"/>
        <w:jc w:val="left"/>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sectPr>
      <w:headerReference r:id="rId6" w:type="default"/>
      <w:footerReference r:id="rId7" w:type="even"/>
      <w:footerReference r:id="rId8" w:type="default"/>
      <w:headerReference r:id="rId5" w:type="first"/>
      <w:type w:val="nextColumn"/>
      <w:pgSz w:w="11905" w:h="16838"/>
      <w:pgMar w:top="1984" w:right="1446" w:bottom="1417" w:left="1457" w:header="454" w:footer="635" w:gutter="0"/>
      <w:cols w:space="720"/>
      <w:textDirection w:val="lrTb"/>
      <w:docGrid w:linePitch="2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7"/>
      <w:rPr>
        <w:rStyle w:val="16"/>
        <w:rFonts w:hint="eastAsia"/>
      </w:rPr>
    </w:pP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22</w:t>
    </w:r>
    <w:r>
      <w:rPr>
        <w:rFonts w:hint="eastAsia"/>
      </w:rPr>
      <w:fldChar w:fldCharType="end"/>
    </w:r>
    <w:r>
      <w:rPr>
        <w:rStyle w:val="16"/>
        <w:rFonts w:hint="eastAsia"/>
      </w:rPr>
      <w:t>－</w:t>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7"/>
      <w:rPr>
        <w:rStyle w:val="16"/>
        <w:rFonts w:hint="eastAsia"/>
      </w:rPr>
    </w:pP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26</w:t>
    </w:r>
    <w:r>
      <w:rPr>
        <w:rFonts w:hint="eastAsia"/>
      </w:rPr>
      <w:fldChar w:fldCharType="end"/>
    </w:r>
    <w:r>
      <w:rPr>
        <w:rStyle w:val="16"/>
        <w:rFonts w:hint="eastAsia"/>
      </w:rPr>
      <w:t>－</w:t>
    </w:r>
  </w:p>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501"/>
        <w:tab w:val="right" w:leader="none" w:pos="9002"/>
      </w:tabs>
      <w:rPr>
        <w:rFonts w:hint="eastAsia"/>
      </w:rPr>
    </w:pPr>
    <w:r>
      <w:rPr>
        <w:rFonts w:hint="default"/>
      </w:rPr>
      <w:tab/>
    </w:r>
    <w:r>
      <w:rPr>
        <w:rFonts w:hint="default"/>
      </w:rPr>
      <w:tab/>
    </w:r>
    <w:r>
      <w:rPr>
        <w:rFonts w:hint="eastAsia"/>
      </w:rPr>
      <w:t>2023</w:t>
    </w:r>
    <w:r>
      <w:rPr>
        <w:rFonts w:hint="default"/>
      </w:rPr>
      <w:t>-04</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501"/>
        <w:tab w:val="right" w:leader="none" w:pos="9002"/>
      </w:tabs>
      <w:jc w:val="center"/>
      <w:rPr>
        <w:rFonts w:hint="default" w:ascii="ＭＳ 明朝" w:hAnsi="ＭＳ 明朝" w:eastAsia="ＭＳ 明朝"/>
      </w:rPr>
    </w:pPr>
    <w:r>
      <w:rPr>
        <w:rFonts w:hint="default"/>
      </w:rPr>
      <w:tab/>
    </w:r>
    <w:r>
      <w:rPr>
        <w:rFonts w:hint="default"/>
      </w:rPr>
      <w:tab/>
    </w:r>
    <w:r>
      <w:rPr>
        <w:rFonts w:hint="eastAsia" w:ascii="ＭＳ 明朝" w:hAnsi="ＭＳ 明朝" w:eastAsia="ＭＳ 明朝"/>
      </w:rPr>
      <w:t>産廃運搬単価</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720"/>
  <w:hyphenationZone w:val="0"/>
  <w:doNotHyphenateCaps/>
  <w:defaultTableStyle w:val="30"/>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Balloon Text"/>
    <w:basedOn w:val="0"/>
    <w:next w:val="18"/>
    <w:link w:val="19"/>
    <w:uiPriority w:val="0"/>
    <w:semiHidden/>
    <w:pPr>
      <w:spacing w:line="240" w:lineRule="auto"/>
    </w:pPr>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8"/>
      <w:kern w:val="2"/>
      <w:sz w:val="18"/>
    </w:rPr>
  </w:style>
  <w:style w:type="paragraph" w:styleId="20">
    <w:name w:val="Body Text Indent"/>
    <w:basedOn w:val="0"/>
    <w:next w:val="20"/>
    <w:link w:val="21"/>
    <w:uiPriority w:val="0"/>
    <w:pPr>
      <w:wordWrap w:val="0"/>
      <w:spacing w:line="360" w:lineRule="exact"/>
      <w:ind w:left="416" w:hanging="416" w:hangingChars="200"/>
    </w:pPr>
    <w:rPr>
      <w:spacing w:val="9"/>
    </w:rPr>
  </w:style>
  <w:style w:type="character" w:styleId="21" w:customStyle="1">
    <w:name w:val="本文インデント (文字)"/>
    <w:next w:val="21"/>
    <w:link w:val="20"/>
    <w:uiPriority w:val="0"/>
    <w:rPr>
      <w:spacing w:val="9"/>
      <w:kern w:val="2"/>
      <w:sz w:val="19"/>
    </w:rPr>
  </w:style>
  <w:style w:type="character" w:styleId="22" w:customStyle="1">
    <w:name w:val="フッター (文字)"/>
    <w:next w:val="22"/>
    <w:link w:val="15"/>
    <w:uiPriority w:val="0"/>
    <w:rPr>
      <w:spacing w:val="8"/>
      <w:kern w:val="2"/>
      <w:sz w:val="19"/>
    </w:rPr>
  </w:style>
  <w:style w:type="character" w:styleId="23" w:customStyle="1">
    <w:name w:val="ヘッダー (文字)"/>
    <w:next w:val="23"/>
    <w:link w:val="17"/>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paragraph" w:styleId="25">
    <w:name w:val="Revision"/>
    <w:next w:val="25"/>
    <w:link w:val="0"/>
    <w:uiPriority w:val="0"/>
    <w:rPr>
      <w:spacing w:val="8"/>
      <w:kern w:val="2"/>
      <w:sz w:val="19"/>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emf" /><Relationship Id="rId10" Type="http://schemas.microsoft.com/office/2011/relationships/commentsExtended" Target="commentsExtended.xml" /><Relationship Id="rId11"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59"/>
        <w:category>
          <w:name w:val="全般"/>
          <w:gallery w:val="placeholder"/>
        </w:category>
        <w:types>
          <w:type w:val="bbPlcHdr"/>
        </w:types>
        <w:behaviors>
          <w:behavior w:val="content"/>
        </w:behaviors>
        <w:guid w:val="{434D3844-4ACF-4B0D-8E34-FAB2F805DB1B}"/>
      </w:docPartPr>
      <w:docPartBody>
        <w:p>
          <w:pPr>
            <w:pStyle w:val="0"/>
            <w:rPr>
              <w:rStyle w:val="28"/>
              <w:rFonts w:hint="eastAsia"/>
            </w:rPr>
          </w:pPr>
          <w:r>
            <w:rPr>
              <w:rStyle w:val="28"/>
              <w:rFonts w:hint="eastAsia"/>
            </w:rPr>
            <w:t>アイテムを選択してください。</w:t>
          </w:r>
        </w:p>
      </w:docPartBody>
    </w:docPart>
    <w:docPart>
      <w:docPartPr>
        <w:name w:val="5EFE81DD536B41B29A64876AEFA63A93"/>
        <w:category>
          <w:name w:val="全般"/>
          <w:gallery w:val="placeholder"/>
        </w:category>
        <w:types>
          <w:type w:val="bbPlcHdr"/>
        </w:types>
        <w:behaviors>
          <w:behavior w:val="content"/>
        </w:behaviors>
        <w:guid w:val="{34150504-EAEA-434D-9393-71BE59B8C3E3}"/>
      </w:docPartPr>
      <w:docPartBody>
        <w:p>
          <w:pPr>
            <w:pStyle w:val="0"/>
            <w:rPr>
              <w:rStyle w:val="28"/>
              <w:rFonts w:hint="eastAsia"/>
            </w:rPr>
          </w:pPr>
          <w:r>
            <w:rPr>
              <w:rStyle w:val="28"/>
              <w:rFonts w:hint="eastAsia"/>
            </w:rPr>
            <w:t>アイテムを選択してください。</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720"/>
  <w:hyphenationZone w:val="0"/>
  <w:doNotHyphenateCaps/>
  <w:defaultTableStyle w:val="30"/>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Balloon Text"/>
    <w:basedOn w:val="0"/>
    <w:next w:val="18"/>
    <w:link w:val="19"/>
    <w:uiPriority w:val="0"/>
    <w:semiHidden/>
    <w:pPr>
      <w:spacing w:line="240" w:lineRule="auto"/>
    </w:pPr>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8"/>
      <w:kern w:val="2"/>
      <w:sz w:val="18"/>
    </w:rPr>
  </w:style>
  <w:style w:type="paragraph" w:styleId="20">
    <w:name w:val="Body Text Indent"/>
    <w:basedOn w:val="0"/>
    <w:next w:val="20"/>
    <w:link w:val="21"/>
    <w:uiPriority w:val="0"/>
    <w:pPr>
      <w:wordWrap w:val="0"/>
      <w:spacing w:line="360" w:lineRule="exact"/>
      <w:ind w:left="416" w:hanging="416" w:hangingChars="200"/>
    </w:pPr>
    <w:rPr>
      <w:spacing w:val="9"/>
    </w:rPr>
  </w:style>
  <w:style w:type="character" w:styleId="21" w:customStyle="1">
    <w:name w:val="本文インデント (文字)"/>
    <w:next w:val="21"/>
    <w:link w:val="20"/>
    <w:uiPriority w:val="0"/>
    <w:rPr>
      <w:spacing w:val="9"/>
      <w:kern w:val="2"/>
      <w:sz w:val="19"/>
    </w:rPr>
  </w:style>
  <w:style w:type="character" w:styleId="22" w:customStyle="1">
    <w:name w:val="フッター (文字)"/>
    <w:next w:val="22"/>
    <w:link w:val="15"/>
    <w:uiPriority w:val="0"/>
    <w:rPr>
      <w:spacing w:val="8"/>
      <w:kern w:val="2"/>
      <w:sz w:val="19"/>
    </w:rPr>
  </w:style>
  <w:style w:type="character" w:styleId="23" w:customStyle="1">
    <w:name w:val="ヘッダー (文字)"/>
    <w:next w:val="23"/>
    <w:link w:val="17"/>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paragraph" w:styleId="25">
    <w:name w:val="Revision"/>
    <w:next w:val="25"/>
    <w:link w:val="0"/>
    <w:uiPriority w:val="0"/>
    <w:rPr>
      <w:spacing w:val="8"/>
      <w:kern w:val="2"/>
      <w:sz w:val="19"/>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806</TotalTime>
  <Pages>29</Pages>
  <Words>34</Words>
  <Characters>28765</Characters>
  <Application>JUST Note</Application>
  <Lines>1102</Lines>
  <Paragraphs>449</Paragraphs>
  <CharactersWithSpaces>29512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（総則）</dc:title>
  <dc:creator>管財課</dc:creator>
  <cp:lastModifiedBy>Administrator</cp:lastModifiedBy>
  <cp:lastPrinted>2024-10-15T00:00:58Z</cp:lastPrinted>
  <dcterms:created xsi:type="dcterms:W3CDTF">2023-03-28T00:43:00Z</dcterms:created>
  <dcterms:modified xsi:type="dcterms:W3CDTF">2026-03-24T22:59:38Z</dcterms:modified>
  <cp:revision>10</cp:revision>
</cp:coreProperties>
</file>