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4861560</wp:posOffset>
            </wp:positionH>
            <wp:positionV relativeFrom="paragraph">
              <wp:posOffset>121285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（産業廃棄物処分用）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rPr>
          <w:rFonts w:hint="eastAsia"/>
        </w:rPr>
        <w:sectPr>
          <w:headerReference r:id="rId6" w:type="default"/>
          <w:footerReference r:id="rId7" w:type="even"/>
          <w:footerReference r:id="rId8" w:type="default"/>
          <w:headerReference r:id="rId5" w:type="first"/>
          <w:type w:val="nextColumn"/>
          <w:pgSz w:w="11905" w:h="16838"/>
          <w:pgMar w:top="1984" w:right="1446" w:bottom="1417" w:left="1457" w:header="454" w:footer="635" w:gutter="0"/>
          <w:cols w:space="720"/>
          <w:textDirection w:val="lrTb"/>
          <w:docGrid w:linePitch="258"/>
        </w:sectPr>
      </w:pP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発注者（排出事業者）と受注者（処分業者）は、本契約の委託に関し、仕様書に示す発注者の事業場から排出される産業廃棄物の処分について次の事項について特約事項として締結する。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tbl>
      <w:tblPr>
        <w:tblStyle w:val="30"/>
        <w:tblW w:w="0" w:type="auto"/>
        <w:tblInd w:w="0" w:type="dxa"/>
        <w:tblLayout w:type="fixed"/>
        <w:tblLook w:firstRow="1" w:lastRow="0" w:firstColumn="1" w:lastColumn="0" w:noHBand="0" w:noVBand="1" w:val="04A0"/>
      </w:tblPr>
      <w:tblGrid>
        <w:gridCol w:w="3000"/>
        <w:gridCol w:w="5995"/>
      </w:tblGrid>
      <w:tr>
        <w:trPr>
          <w:trHeight w:val="530" w:hRule="atLeast"/>
        </w:trPr>
        <w:tc>
          <w:tcPr>
            <w:tcW w:w="3000" w:type="dxa"/>
            <w:vAlign w:val="center"/>
          </w:tcPr>
          <w:p>
            <w:pPr>
              <w:pStyle w:val="0"/>
              <w:jc w:val="both"/>
              <w:rPr>
                <w:rFonts w:hint="eastAsia"/>
              </w:rPr>
            </w:pPr>
            <w:r>
              <w:rPr>
                <w:rFonts w:hint="eastAsia"/>
              </w:rPr>
              <w:t>処分業許可番号及び</w:t>
            </w:r>
          </w:p>
          <w:p>
            <w:pPr>
              <w:pStyle w:val="0"/>
              <w:jc w:val="both"/>
              <w:rPr>
                <w:rFonts w:hint="eastAsia"/>
              </w:rPr>
            </w:pPr>
            <w:r>
              <w:rPr>
                <w:rFonts w:hint="eastAsia"/>
              </w:rPr>
              <w:t>許可都道府県等</w:t>
            </w:r>
          </w:p>
        </w:tc>
        <w:tc>
          <w:tcPr>
            <w:tcW w:w="5995" w:type="dxa"/>
            <w:vAlign w:val="top"/>
          </w:tcPr>
          <w:p>
            <w:pPr>
              <w:pStyle w:val="0"/>
              <w:rPr>
                <w:rFonts w:hint="eastAsia"/>
              </w:rPr>
            </w:pPr>
          </w:p>
        </w:tc>
      </w:tr>
      <w:tr>
        <w:trPr>
          <w:trHeight w:val="354" w:hRule="atLeast"/>
        </w:trPr>
        <w:tc>
          <w:tcPr>
            <w:tcW w:w="3000" w:type="dxa"/>
            <w:vAlign w:val="center"/>
          </w:tcPr>
          <w:p>
            <w:pPr>
              <w:pStyle w:val="0"/>
              <w:rPr>
                <w:rFonts w:hint="eastAsia"/>
              </w:rPr>
            </w:pPr>
            <w:r>
              <w:rPr>
                <w:rFonts w:hint="eastAsia"/>
              </w:rPr>
              <w:t>業の区分</w:t>
            </w:r>
          </w:p>
        </w:tc>
        <w:tc>
          <w:tcPr>
            <w:tcW w:w="5995"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処分方法及び許可品目</w:t>
            </w:r>
          </w:p>
        </w:tc>
        <w:tc>
          <w:tcPr>
            <w:tcW w:w="5995"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発注者が受注者に処分を委託する産業廃棄物の種類及び数量は次のとおりとする。</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（処分の場所、方法および処理能力）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受注者は、発注者から委託された前項の産業廃棄物を、次のとおり処分する。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事業場の名称</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所在地</w:t>
            </w:r>
          </w:p>
        </w:tc>
        <w:tc>
          <w:tcPr>
            <w:tcW w:w="6487" w:type="dxa"/>
            <w:vAlign w:val="top"/>
          </w:tcPr>
          <w:p>
            <w:pPr>
              <w:pStyle w:val="0"/>
              <w:rPr>
                <w:rFonts w:hint="eastAsia"/>
              </w:rPr>
            </w:pPr>
          </w:p>
        </w:tc>
      </w:tr>
      <w:tr>
        <w:trPr>
          <w:trHeight w:val="392" w:hRule="atLeast"/>
        </w:trPr>
        <w:tc>
          <w:tcPr>
            <w:tcW w:w="2515" w:type="dxa"/>
            <w:vAlign w:val="center"/>
          </w:tcPr>
          <w:p>
            <w:pPr>
              <w:pStyle w:val="0"/>
              <w:rPr>
                <w:rFonts w:hint="eastAsia"/>
              </w:rPr>
            </w:pPr>
            <w:r>
              <w:rPr>
                <w:rFonts w:hint="eastAsia"/>
              </w:rPr>
              <w:t>処分の方法</w:t>
            </w:r>
          </w:p>
        </w:tc>
        <w:tc>
          <w:tcPr>
            <w:tcW w:w="6487" w:type="dxa"/>
            <w:vAlign w:val="top"/>
          </w:tcPr>
          <w:p>
            <w:pPr>
              <w:pStyle w:val="0"/>
              <w:rPr>
                <w:rFonts w:hint="eastAsia"/>
              </w:rPr>
            </w:pPr>
          </w:p>
        </w:tc>
      </w:tr>
      <w:tr>
        <w:trPr>
          <w:trHeight w:val="320" w:hRule="atLeast"/>
        </w:trPr>
        <w:tc>
          <w:tcPr>
            <w:tcW w:w="2515" w:type="dxa"/>
            <w:vAlign w:val="center"/>
          </w:tcPr>
          <w:p>
            <w:pPr>
              <w:pStyle w:val="0"/>
              <w:rPr>
                <w:rFonts w:hint="eastAsia"/>
              </w:rPr>
            </w:pPr>
            <w:r>
              <w:rPr>
                <w:rFonts w:hint="eastAsia"/>
              </w:rPr>
              <w:t>施設の処理能力</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（最終処分の場所、方法及び処理能力）</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受注者に委託された産業廃棄物の最終処分（予定）を次のとおりとする</w:t>
      </w:r>
    </w:p>
    <w:tbl>
      <w:tblPr>
        <w:tblStyle w:val="11"/>
        <w:tblW w:w="9006" w:type="dxa"/>
        <w:jc w:val="left"/>
        <w:tblInd w:w="-16" w:type="dxa"/>
        <w:tblLayout w:type="fixed"/>
        <w:tblCellMar>
          <w:top w:w="0" w:type="dxa"/>
          <w:left w:w="99" w:type="dxa"/>
          <w:bottom w:w="0" w:type="dxa"/>
          <w:right w:w="99" w:type="dxa"/>
        </w:tblCellMar>
        <w:tblLook w:firstRow="0" w:lastRow="0" w:firstColumn="0" w:lastColumn="0" w:noHBand="1" w:noVBand="1" w:val="0600"/>
      </w:tblPr>
      <w:tblGrid>
        <w:gridCol w:w="1801"/>
        <w:gridCol w:w="1801"/>
        <w:gridCol w:w="2402"/>
        <w:gridCol w:w="1241"/>
        <w:gridCol w:w="1761"/>
      </w:tblGrid>
      <w:tr>
        <w:trPr>
          <w:trHeight w:val="703" w:hRule="atLeas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最終処分先の番号</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事業場の名称</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所在地</w:t>
            </w: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処分方法</w:t>
            </w: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施設の処理能力</w:t>
            </w:r>
          </w:p>
        </w:tc>
      </w:tr>
      <w:tr>
        <w:trPr>
          <w:trHeight w:val="449"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1"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（搬入業者）</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第５条　発注者は受注者に産業廃棄物を事業場へ搬入する業者を速やかに通知するものとする。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第６条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受注者は、発注者から委託された産業廃棄物を、処分の完了まで、法令に基づき適正に処理しなければならない。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業務が終了した後、直ちに業務終了報告書を作成し、発注者に提出する。ただし、業務終了報告書は、処分業務については、マニフェストＤ票、又は電子マニフェストの処分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第１０条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第１１条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処分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処分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第１２条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bookmarkStart w:id="0" w:name="_GoBack"/>
      <w:bookmarkEnd w:id="0"/>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26" w:hanging="226" w:hangingChars="10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94" w:hanging="194" w:hangingChars="94"/>
        <w:jc w:val="left"/>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24</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産廃処分総価</w:t>
    </w:r>
    <w:r>
      <w:rPr>
        <w:rFonts w:hint="eastAsia" w:ascii="ＭＳ 明朝" w:hAnsi="ＭＳ 明朝" w:eastAsia="ＭＳ 明朝"/>
      </w:rPr>
      <w:t>500</w:t>
    </w:r>
    <w:r>
      <w:rPr>
        <w:rFonts w:hint="eastAsia" w:ascii="ＭＳ 明朝" w:hAnsi="ＭＳ 明朝" w:eastAsia="ＭＳ 明朝"/>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829</TotalTime>
  <Pages>27</Pages>
  <Words>34</Words>
  <Characters>28726</Characters>
  <Application>JUST Note</Application>
  <Lines>1071</Lines>
  <Paragraphs>445</Paragraphs>
  <CharactersWithSpaces>29485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2026-03-24T23:00:50Z</dcterms:modified>
  <cp:revision>9</cp:revision>
</cp:coreProperties>
</file>