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様式第１１号</w:t>
      </w:r>
    </w:p>
    <w:p>
      <w:pPr>
        <w:pStyle w:val="0"/>
        <w:ind w:firstLine="4606" w:firstLineChars="1700"/>
        <w:rPr>
          <w:rFonts w:hint="default" w:ascii="ＭＳ 明朝" w:hAnsi="ＭＳ 明朝" w:eastAsia="ＭＳ 明朝"/>
          <w:sz w:val="24"/>
        </w:rPr>
      </w:pPr>
    </w:p>
    <w:p>
      <w:pPr>
        <w:pStyle w:val="0"/>
        <w:jc w:val="center"/>
        <w:rPr>
          <w:rFonts w:hint="default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地域ボランティア活動実績評価資料</w:t>
      </w:r>
    </w:p>
    <w:p>
      <w:pPr>
        <w:pStyle w:val="0"/>
        <w:jc w:val="center"/>
        <w:rPr>
          <w:rFonts w:hint="default" w:ascii="ＭＳ 明朝" w:hAnsi="ＭＳ 明朝" w:eastAsia="ＭＳ 明朝"/>
          <w:sz w:val="24"/>
        </w:rPr>
      </w:pPr>
    </w:p>
    <w:p>
      <w:pPr>
        <w:pStyle w:val="0"/>
        <w:rPr>
          <w:rFonts w:hint="default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対象工事名：</w:t>
      </w:r>
    </w:p>
    <w:p>
      <w:pPr>
        <w:pStyle w:val="0"/>
        <w:rPr>
          <w:rFonts w:hint="default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提出者の名称：</w:t>
      </w:r>
    </w:p>
    <w:p>
      <w:pPr>
        <w:pStyle w:val="0"/>
        <w:snapToGrid w:val="0"/>
        <w:spacing w:line="280" w:lineRule="exact"/>
        <w:ind w:left="525" w:hanging="525"/>
        <w:textAlignment w:val="center"/>
        <w:rPr>
          <w:rFonts w:hint="default" w:ascii="ＭＳ 明朝" w:hAnsi="ＭＳ 明朝" w:eastAsia="ＭＳ 明朝"/>
          <w:snapToGrid w:val="0"/>
          <w:sz w:val="20"/>
        </w:rPr>
      </w:pPr>
    </w:p>
    <w:tbl>
      <w:tblPr>
        <w:tblStyle w:val="11"/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1" w:lastRow="1" w:firstColumn="1" w:lastColumn="1" w:noHBand="0" w:noVBand="0" w:val="01E0"/>
      </w:tblPr>
      <w:tblGrid>
        <w:gridCol w:w="567"/>
        <w:gridCol w:w="2694"/>
        <w:gridCol w:w="6378"/>
      </w:tblGrid>
      <w:tr>
        <w:trPr>
          <w:cantSplit/>
          <w:trHeight w:val="3194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textDirection w:val="tbRlV"/>
            <w:vAlign w:val="center"/>
          </w:tcPr>
          <w:p>
            <w:pPr>
              <w:pStyle w:val="0"/>
              <w:wordWrap w:val="0"/>
              <w:overflowPunct w:val="0"/>
              <w:autoSpaceDE w:val="0"/>
              <w:autoSpaceDN w:val="0"/>
              <w:jc w:val="center"/>
              <w:rPr>
                <w:rFonts w:hint="default" w:ascii="ＭＳ 明朝" w:hAnsi="ＭＳ 明朝" w:eastAsia="ＭＳ 明朝"/>
                <w:sz w:val="24"/>
              </w:rPr>
            </w:pPr>
            <w:r>
              <w:rPr>
                <w:rFonts w:hint="eastAsia" w:ascii="ＭＳ 明朝" w:hAnsi="ＭＳ 明朝" w:eastAsia="ＭＳ 明朝"/>
                <w:sz w:val="24"/>
              </w:rPr>
              <w:t>令和　年度の実績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ordWrap w:val="0"/>
              <w:overflowPunct w:val="0"/>
              <w:autoSpaceDE w:val="0"/>
              <w:autoSpaceDN w:val="0"/>
              <w:jc w:val="center"/>
              <w:rPr>
                <w:rFonts w:hint="default" w:ascii="ＭＳ 明朝" w:hAnsi="ＭＳ 明朝" w:eastAsia="ＭＳ 明朝"/>
                <w:sz w:val="24"/>
              </w:rPr>
            </w:pPr>
            <w:r>
              <w:rPr>
                <w:rFonts w:hint="eastAsia" w:ascii="ＭＳ 明朝" w:hAnsi="ＭＳ 明朝" w:eastAsia="ＭＳ 明朝"/>
                <w:sz w:val="24"/>
              </w:rPr>
              <w:t>ボランティアの種類</w:t>
            </w:r>
          </w:p>
        </w:tc>
        <w:tc>
          <w:tcPr>
            <w:tcW w:w="6378" w:type="dxa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ordWrap w:val="0"/>
              <w:overflowPunct w:val="0"/>
              <w:autoSpaceDE w:val="0"/>
              <w:autoSpaceDN w:val="0"/>
              <w:rPr>
                <w:rFonts w:hint="default" w:ascii="ＭＳ 明朝" w:hAnsi="ＭＳ 明朝" w:eastAsia="ＭＳ 明朝"/>
                <w:sz w:val="24"/>
              </w:rPr>
            </w:pPr>
            <w:r>
              <w:rPr>
                <w:rFonts w:hint="eastAsia" w:ascii="ＭＳ 明朝" w:hAnsi="ＭＳ 明朝" w:eastAsia="ＭＳ 明朝"/>
                <w:sz w:val="24"/>
              </w:rPr>
              <w:t>□　土浦市道路愛護ボランティア支援制度</w:t>
            </w:r>
          </w:p>
          <w:p>
            <w:pPr>
              <w:pStyle w:val="0"/>
              <w:wordWrap w:val="0"/>
              <w:overflowPunct w:val="0"/>
              <w:autoSpaceDE w:val="0"/>
              <w:autoSpaceDN w:val="0"/>
              <w:rPr>
                <w:rFonts w:hint="default" w:ascii="ＭＳ 明朝" w:hAnsi="ＭＳ 明朝" w:eastAsia="ＭＳ 明朝"/>
                <w:sz w:val="24"/>
              </w:rPr>
            </w:pPr>
            <w:r>
              <w:rPr>
                <w:rFonts w:hint="eastAsia" w:ascii="ＭＳ 明朝" w:hAnsi="ＭＳ 明朝" w:eastAsia="ＭＳ 明朝"/>
                <w:sz w:val="24"/>
              </w:rPr>
              <w:t>　　（延長</w:t>
            </w:r>
            <w:r>
              <w:rPr>
                <w:rFonts w:hint="eastAsia" w:ascii="ＭＳ 明朝" w:hAnsi="ＭＳ 明朝" w:eastAsia="ＭＳ 明朝"/>
                <w:sz w:val="24"/>
              </w:rPr>
              <w:t>50</w:t>
            </w:r>
            <w:r>
              <w:rPr>
                <w:rFonts w:hint="eastAsia" w:ascii="ＭＳ 明朝" w:hAnsi="ＭＳ 明朝" w:eastAsia="ＭＳ 明朝"/>
                <w:sz w:val="24"/>
              </w:rPr>
              <w:t>ｍ以上・年２回以上の実施）</w:t>
            </w:r>
          </w:p>
          <w:p>
            <w:pPr>
              <w:pStyle w:val="0"/>
              <w:wordWrap w:val="0"/>
              <w:overflowPunct w:val="0"/>
              <w:autoSpaceDE w:val="0"/>
              <w:autoSpaceDN w:val="0"/>
              <w:rPr>
                <w:rFonts w:hint="default" w:ascii="ＭＳ 明朝" w:hAnsi="ＭＳ 明朝" w:eastAsia="ＭＳ 明朝"/>
                <w:sz w:val="24"/>
              </w:rPr>
            </w:pPr>
            <w:r>
              <w:rPr>
                <w:rFonts w:hint="eastAsia" w:ascii="ＭＳ 明朝" w:hAnsi="ＭＳ 明朝" w:eastAsia="ＭＳ 明朝"/>
                <w:sz w:val="24"/>
              </w:rPr>
              <w:t>□　土浦市公園里親制度</w:t>
            </w:r>
          </w:p>
          <w:p>
            <w:pPr>
              <w:pStyle w:val="0"/>
              <w:wordWrap w:val="0"/>
              <w:overflowPunct w:val="0"/>
              <w:autoSpaceDE w:val="0"/>
              <w:autoSpaceDN w:val="0"/>
              <w:rPr>
                <w:rFonts w:hint="default" w:ascii="ＭＳ 明朝" w:hAnsi="ＭＳ 明朝" w:eastAsia="ＭＳ 明朝"/>
                <w:sz w:val="24"/>
              </w:rPr>
            </w:pPr>
            <w:r>
              <w:rPr>
                <w:rFonts w:hint="eastAsia" w:ascii="ＭＳ 明朝" w:hAnsi="ＭＳ 明朝" w:eastAsia="ＭＳ 明朝"/>
                <w:sz w:val="24"/>
              </w:rPr>
              <w:t>　　（年２回以上の実施）</w:t>
            </w:r>
          </w:p>
          <w:p>
            <w:pPr>
              <w:pStyle w:val="0"/>
              <w:wordWrap w:val="0"/>
              <w:overflowPunct w:val="0"/>
              <w:autoSpaceDE w:val="0"/>
              <w:autoSpaceDN w:val="0"/>
              <w:rPr>
                <w:rFonts w:hint="default" w:ascii="ＭＳ 明朝" w:hAnsi="ＭＳ 明朝" w:eastAsia="ＭＳ 明朝"/>
                <w:sz w:val="24"/>
              </w:rPr>
            </w:pPr>
            <w:r>
              <w:rPr>
                <w:rFonts w:hint="eastAsia" w:ascii="ＭＳ 明朝" w:hAnsi="ＭＳ 明朝" w:eastAsia="ＭＳ 明朝"/>
                <w:sz w:val="24"/>
              </w:rPr>
              <w:t>□　霞ケ浦・北浦地域清掃大作戦</w:t>
            </w:r>
          </w:p>
          <w:p>
            <w:pPr>
              <w:pStyle w:val="0"/>
              <w:wordWrap w:val="0"/>
              <w:overflowPunct w:val="0"/>
              <w:autoSpaceDE w:val="0"/>
              <w:autoSpaceDN w:val="0"/>
              <w:rPr>
                <w:rFonts w:hint="eastAsia" w:ascii="ＭＳ 明朝" w:hAnsi="ＭＳ 明朝" w:eastAsia="PMingLiU"/>
                <w:sz w:val="24"/>
              </w:rPr>
            </w:pPr>
            <w:r>
              <w:rPr>
                <w:rFonts w:hint="eastAsia" w:ascii="ＭＳ 明朝" w:hAnsi="ＭＳ 明朝" w:eastAsia="ＭＳ 明朝"/>
                <w:sz w:val="24"/>
              </w:rPr>
              <w:t>　　（春・夏の両方とも参加）</w:t>
            </w:r>
          </w:p>
          <w:p>
            <w:pPr>
              <w:pStyle w:val="0"/>
              <w:wordWrap w:val="0"/>
              <w:overflowPunct w:val="0"/>
              <w:autoSpaceDE w:val="0"/>
              <w:autoSpaceDN w:val="0"/>
              <w:rPr>
                <w:rFonts w:hint="default" w:ascii="ＭＳ 明朝" w:hAnsi="ＭＳ 明朝" w:eastAsia="ＭＳ 明朝"/>
                <w:sz w:val="24"/>
              </w:rPr>
            </w:pPr>
          </w:p>
        </w:tc>
      </w:tr>
      <w:tr>
        <w:trPr>
          <w:cantSplit/>
          <w:trHeight w:val="2947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textDirection w:val="tbRlV"/>
            <w:vAlign w:val="center"/>
          </w:tcPr>
          <w:p>
            <w:pPr>
              <w:pStyle w:val="0"/>
              <w:wordWrap w:val="0"/>
              <w:overflowPunct w:val="0"/>
              <w:autoSpaceDE w:val="0"/>
              <w:autoSpaceDN w:val="0"/>
              <w:jc w:val="center"/>
              <w:rPr>
                <w:rFonts w:hint="default" w:ascii="ＭＳ 明朝" w:hAnsi="ＭＳ 明朝" w:eastAsia="ＭＳ 明朝"/>
                <w:sz w:val="24"/>
              </w:rPr>
            </w:pPr>
            <w:r>
              <w:rPr>
                <w:rFonts w:hint="eastAsia" w:ascii="ＭＳ 明朝" w:hAnsi="ＭＳ 明朝" w:eastAsia="ＭＳ 明朝"/>
                <w:sz w:val="24"/>
              </w:rPr>
              <w:t>令和　</w:t>
            </w:r>
            <w:bookmarkStart w:id="0" w:name="_GoBack"/>
            <w:bookmarkEnd w:id="0"/>
            <w:r>
              <w:rPr>
                <w:rFonts w:hint="eastAsia" w:ascii="ＭＳ 明朝" w:hAnsi="ＭＳ 明朝" w:eastAsia="ＭＳ 明朝"/>
                <w:sz w:val="24"/>
              </w:rPr>
              <w:t>年度の実績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overflowPunct w:val="0"/>
              <w:autoSpaceDE w:val="0"/>
              <w:autoSpaceDN w:val="0"/>
              <w:jc w:val="center"/>
              <w:rPr>
                <w:rFonts w:hint="default" w:ascii="ＭＳ 明朝" w:hAnsi="ＭＳ 明朝" w:eastAsia="ＭＳ 明朝"/>
                <w:sz w:val="24"/>
              </w:rPr>
            </w:pPr>
            <w:r>
              <w:rPr>
                <w:rFonts w:hint="eastAsia" w:ascii="ＭＳ 明朝" w:hAnsi="ＭＳ 明朝" w:eastAsia="ＭＳ 明朝"/>
                <w:sz w:val="24"/>
              </w:rPr>
              <w:t>ボランティアの種類</w:t>
            </w:r>
          </w:p>
        </w:tc>
        <w:tc>
          <w:tcPr>
            <w:tcW w:w="6378" w:type="dxa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ordWrap w:val="0"/>
              <w:overflowPunct w:val="0"/>
              <w:autoSpaceDE w:val="0"/>
              <w:autoSpaceDN w:val="0"/>
              <w:rPr>
                <w:rFonts w:hint="default" w:ascii="ＭＳ 明朝" w:hAnsi="ＭＳ 明朝" w:eastAsia="ＭＳ 明朝"/>
                <w:sz w:val="24"/>
              </w:rPr>
            </w:pPr>
            <w:r>
              <w:rPr>
                <w:rFonts w:hint="eastAsia" w:ascii="ＭＳ 明朝" w:hAnsi="ＭＳ 明朝" w:eastAsia="ＭＳ 明朝"/>
                <w:sz w:val="24"/>
              </w:rPr>
              <w:t>□　土浦市道路愛護ボランティア支援制度</w:t>
            </w:r>
          </w:p>
          <w:p>
            <w:pPr>
              <w:pStyle w:val="0"/>
              <w:wordWrap w:val="0"/>
              <w:overflowPunct w:val="0"/>
              <w:autoSpaceDE w:val="0"/>
              <w:autoSpaceDN w:val="0"/>
              <w:rPr>
                <w:rFonts w:hint="default" w:ascii="ＭＳ 明朝" w:hAnsi="ＭＳ 明朝" w:eastAsia="ＭＳ 明朝"/>
                <w:sz w:val="24"/>
              </w:rPr>
            </w:pPr>
            <w:r>
              <w:rPr>
                <w:rFonts w:hint="eastAsia" w:ascii="ＭＳ 明朝" w:hAnsi="ＭＳ 明朝" w:eastAsia="ＭＳ 明朝"/>
                <w:sz w:val="24"/>
              </w:rPr>
              <w:t>　　（延長</w:t>
            </w:r>
            <w:r>
              <w:rPr>
                <w:rFonts w:hint="eastAsia" w:ascii="ＭＳ 明朝" w:hAnsi="ＭＳ 明朝" w:eastAsia="ＭＳ 明朝"/>
                <w:sz w:val="24"/>
              </w:rPr>
              <w:t>50</w:t>
            </w:r>
            <w:r>
              <w:rPr>
                <w:rFonts w:hint="eastAsia" w:ascii="ＭＳ 明朝" w:hAnsi="ＭＳ 明朝" w:eastAsia="ＭＳ 明朝"/>
                <w:sz w:val="24"/>
              </w:rPr>
              <w:t>ｍ以上・年２回以上の実施）</w:t>
            </w:r>
          </w:p>
          <w:p>
            <w:pPr>
              <w:pStyle w:val="0"/>
              <w:wordWrap w:val="0"/>
              <w:overflowPunct w:val="0"/>
              <w:autoSpaceDE w:val="0"/>
              <w:autoSpaceDN w:val="0"/>
              <w:rPr>
                <w:rFonts w:hint="default" w:ascii="ＭＳ 明朝" w:hAnsi="ＭＳ 明朝" w:eastAsia="ＭＳ 明朝"/>
                <w:sz w:val="24"/>
              </w:rPr>
            </w:pPr>
            <w:r>
              <w:rPr>
                <w:rFonts w:hint="eastAsia" w:ascii="ＭＳ 明朝" w:hAnsi="ＭＳ 明朝" w:eastAsia="ＭＳ 明朝"/>
                <w:sz w:val="24"/>
              </w:rPr>
              <w:t>□　土浦市公園里親制度</w:t>
            </w:r>
          </w:p>
          <w:p>
            <w:pPr>
              <w:pStyle w:val="0"/>
              <w:wordWrap w:val="0"/>
              <w:overflowPunct w:val="0"/>
              <w:autoSpaceDE w:val="0"/>
              <w:autoSpaceDN w:val="0"/>
              <w:rPr>
                <w:rFonts w:hint="default" w:ascii="ＭＳ 明朝" w:hAnsi="ＭＳ 明朝" w:eastAsia="ＭＳ 明朝"/>
                <w:sz w:val="24"/>
              </w:rPr>
            </w:pPr>
            <w:r>
              <w:rPr>
                <w:rFonts w:hint="eastAsia" w:ascii="ＭＳ 明朝" w:hAnsi="ＭＳ 明朝" w:eastAsia="ＭＳ 明朝"/>
                <w:sz w:val="24"/>
              </w:rPr>
              <w:t>　　（年２回以上の実施）</w:t>
            </w:r>
          </w:p>
          <w:p>
            <w:pPr>
              <w:pStyle w:val="0"/>
              <w:wordWrap w:val="0"/>
              <w:overflowPunct w:val="0"/>
              <w:autoSpaceDE w:val="0"/>
              <w:autoSpaceDN w:val="0"/>
              <w:rPr>
                <w:rFonts w:hint="default" w:ascii="ＭＳ 明朝" w:hAnsi="ＭＳ 明朝" w:eastAsia="ＭＳ 明朝"/>
                <w:sz w:val="24"/>
              </w:rPr>
            </w:pPr>
            <w:r>
              <w:rPr>
                <w:rFonts w:hint="eastAsia" w:ascii="ＭＳ 明朝" w:hAnsi="ＭＳ 明朝" w:eastAsia="ＭＳ 明朝"/>
                <w:sz w:val="24"/>
              </w:rPr>
              <w:t>□　霞ケ浦・北浦地域清掃大作戦</w:t>
            </w:r>
          </w:p>
          <w:p>
            <w:pPr>
              <w:pStyle w:val="0"/>
              <w:overflowPunct w:val="0"/>
              <w:autoSpaceDE w:val="0"/>
              <w:autoSpaceDN w:val="0"/>
              <w:ind w:right="542" w:firstLine="271" w:firstLineChars="100"/>
              <w:jc w:val="left"/>
              <w:rPr>
                <w:rFonts w:hint="eastAsia" w:ascii="ＭＳ 明朝" w:hAnsi="ＭＳ 明朝" w:eastAsia="PMingLiU"/>
                <w:sz w:val="24"/>
              </w:rPr>
            </w:pPr>
            <w:r>
              <w:rPr>
                <w:rFonts w:hint="eastAsia" w:ascii="ＭＳ 明朝" w:hAnsi="ＭＳ 明朝" w:eastAsia="ＭＳ 明朝"/>
                <w:sz w:val="24"/>
              </w:rPr>
              <w:t>　（春・夏の両方とも参加）</w:t>
            </w:r>
          </w:p>
        </w:tc>
      </w:tr>
    </w:tbl>
    <w:p>
      <w:pPr>
        <w:pStyle w:val="0"/>
        <w:wordWrap w:val="0"/>
        <w:overflowPunct w:val="0"/>
        <w:autoSpaceDE w:val="0"/>
        <w:autoSpaceDN w:val="0"/>
        <w:ind w:left="105" w:hanging="105"/>
        <w:rPr>
          <w:rFonts w:hint="default" w:ascii="ＭＳ 明朝" w:hAnsi="ＭＳ 明朝" w:eastAsia="ＭＳ 明朝"/>
          <w:sz w:val="24"/>
        </w:rPr>
      </w:pPr>
    </w:p>
    <w:p>
      <w:pPr>
        <w:pStyle w:val="0"/>
        <w:wordWrap w:val="0"/>
        <w:overflowPunct w:val="0"/>
        <w:autoSpaceDE w:val="0"/>
        <w:autoSpaceDN w:val="0"/>
        <w:ind w:left="105" w:hanging="105"/>
        <w:rPr>
          <w:rFonts w:hint="default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注意事項</w:t>
      </w:r>
    </w:p>
    <w:p>
      <w:pPr>
        <w:pStyle w:val="0"/>
        <w:wordWrap w:val="0"/>
        <w:overflowPunct w:val="0"/>
        <w:autoSpaceDE w:val="0"/>
        <w:autoSpaceDN w:val="0"/>
        <w:ind w:left="512" w:leftChars="100" w:hanging="271" w:hangingChars="100"/>
        <w:rPr>
          <w:rFonts w:hint="default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１　地域ボランティア活動の実績は、前年度及び前々年度で参加した活動内容にチェックすること。ただし、各年度の地域活動の内容は、共通のものでなくてもよい。</w:t>
      </w:r>
    </w:p>
    <w:p>
      <w:pPr>
        <w:pStyle w:val="0"/>
        <w:wordWrap w:val="0"/>
        <w:overflowPunct w:val="0"/>
        <w:autoSpaceDE w:val="0"/>
        <w:autoSpaceDN w:val="0"/>
        <w:ind w:left="512" w:leftChars="100" w:hanging="271" w:hangingChars="100"/>
        <w:rPr>
          <w:rFonts w:hint="default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２　この評価項目について実績を有しない場合は、この書類の提出を要しない。</w:t>
      </w:r>
    </w:p>
    <w:p>
      <w:pPr>
        <w:pStyle w:val="0"/>
        <w:wordWrap w:val="0"/>
        <w:overflowPunct w:val="0"/>
        <w:autoSpaceDE w:val="0"/>
        <w:autoSpaceDN w:val="0"/>
        <w:ind w:left="512" w:leftChars="100" w:hanging="271" w:hangingChars="100"/>
        <w:rPr>
          <w:rFonts w:hint="default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３　地域ボランティア活動を証明する書類を添付すること。</w:t>
      </w:r>
    </w:p>
    <w:p>
      <w:pPr>
        <w:pStyle w:val="0"/>
        <w:wordWrap w:val="0"/>
        <w:overflowPunct w:val="0"/>
        <w:autoSpaceDE w:val="0"/>
        <w:autoSpaceDN w:val="0"/>
        <w:ind w:left="512" w:leftChars="100" w:hanging="271" w:hangingChars="100"/>
        <w:rPr>
          <w:rFonts w:hint="default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４　団体の会員として当該活動に参加した場合であって、入札公告日において当該団体に所属していること、活動に参加したことを確認することができる場合も対象となる。</w:t>
      </w:r>
    </w:p>
    <w:sectPr>
      <w:pgSz w:w="11906" w:h="16838"/>
      <w:pgMar w:top="1134" w:right="1134" w:bottom="1134" w:left="1134" w:header="851" w:footer="992" w:gutter="0"/>
      <w:cols w:space="720"/>
      <w:textDirection w:val="lrTb"/>
      <w:docGrid w:type="linesAndChars" w:linePitch="364" w:charSpace="6338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PMingLiU">
    <w:panose1 w:val="00000000000000000000"/>
    <w:charset w:val="88"/>
    <w:family w:val="roman"/>
    <w:pitch w:val="fixed"/>
    <w:sig w:usb0="00000000" w:usb1="00000000" w:usb2="00000000" w:usb3="00000000" w:csb0="01001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70"/>
  <w:bordersDoNotSurroundHeader/>
  <w:bordersDoNotSurroundFooter/>
  <w:defaultTabStop w:val="840"/>
  <w:drawingGridHorizontalSpacing w:val="105"/>
  <w:drawingGridVerticalSpacing w:val="335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paragraph" w:styleId="19">
    <w:name w:val="Balloon Text"/>
    <w:basedOn w:val="0"/>
    <w:next w:val="19"/>
    <w:link w:val="20"/>
    <w:uiPriority w:val="0"/>
    <w:semiHidden/>
    <w:rPr>
      <w:rFonts w:asciiTheme="majorHAnsi" w:hAnsiTheme="majorHAnsi" w:eastAsiaTheme="majorEastAsia"/>
      <w:sz w:val="18"/>
    </w:rPr>
  </w:style>
  <w:style w:type="character" w:styleId="20" w:customStyle="1">
    <w:name w:val="吹き出し (文字)"/>
    <w:basedOn w:val="10"/>
    <w:next w:val="20"/>
    <w:link w:val="19"/>
    <w:uiPriority w:val="0"/>
    <w:rPr>
      <w:rFonts w:asciiTheme="majorHAnsi" w:hAnsiTheme="majorHAnsi" w:eastAsiaTheme="majorEastAsia"/>
      <w:sz w:val="18"/>
    </w:rPr>
  </w:style>
  <w:style w:type="paragraph" w:styleId="21">
    <w:name w:val="Note Heading"/>
    <w:basedOn w:val="0"/>
    <w:next w:val="0"/>
    <w:link w:val="22"/>
    <w:uiPriority w:val="0"/>
    <w:pPr>
      <w:jc w:val="center"/>
    </w:pPr>
    <w:rPr>
      <w:rFonts w:ascii="ＭＳ 明朝" w:hAnsi="ＭＳ 明朝" w:eastAsia="ＭＳ 明朝"/>
      <w:sz w:val="24"/>
    </w:rPr>
  </w:style>
  <w:style w:type="character" w:styleId="22" w:customStyle="1">
    <w:name w:val="記 (文字)"/>
    <w:basedOn w:val="10"/>
    <w:next w:val="22"/>
    <w:link w:val="21"/>
    <w:uiPriority w:val="0"/>
    <w:rPr>
      <w:rFonts w:ascii="ＭＳ 明朝" w:hAnsi="ＭＳ 明朝" w:eastAsia="ＭＳ 明朝"/>
      <w:sz w:val="24"/>
    </w:rPr>
  </w:style>
  <w:style w:type="paragraph" w:styleId="23">
    <w:name w:val="Closing"/>
    <w:basedOn w:val="0"/>
    <w:next w:val="23"/>
    <w:link w:val="24"/>
    <w:uiPriority w:val="0"/>
    <w:pPr>
      <w:jc w:val="right"/>
    </w:pPr>
    <w:rPr>
      <w:rFonts w:ascii="ＭＳ 明朝" w:hAnsi="ＭＳ 明朝" w:eastAsia="ＭＳ 明朝"/>
      <w:sz w:val="24"/>
    </w:rPr>
  </w:style>
  <w:style w:type="character" w:styleId="24" w:customStyle="1">
    <w:name w:val="結語 (文字)"/>
    <w:basedOn w:val="10"/>
    <w:next w:val="24"/>
    <w:link w:val="23"/>
    <w:uiPriority w:val="0"/>
    <w:rPr>
      <w:rFonts w:ascii="ＭＳ 明朝" w:hAnsi="ＭＳ 明朝" w:eastAsia="ＭＳ 明朝"/>
      <w:sz w:val="24"/>
    </w:rPr>
  </w:style>
  <w:style w:type="paragraph" w:styleId="25">
    <w:name w:val="List Paragraph"/>
    <w:basedOn w:val="0"/>
    <w:next w:val="25"/>
    <w:link w:val="0"/>
    <w:uiPriority w:val="0"/>
    <w:qFormat/>
    <w:pPr>
      <w:ind w:left="840" w:leftChars="400"/>
    </w:pPr>
  </w:style>
  <w:style w:type="table" w:styleId="26">
    <w:name w:val="Table Grid"/>
    <w:basedOn w:val="11"/>
    <w:next w:val="26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517</TotalTime>
  <Pages>1</Pages>
  <Words>74</Words>
  <Characters>428</Characters>
  <Application>JUST Note</Application>
  <Lines>3</Lines>
  <Paragraphs>1</Paragraphs>
  <CharactersWithSpaces>501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管財課</dc:creator>
  <cp:lastModifiedBy>Administrator</cp:lastModifiedBy>
  <cp:lastPrinted>2022-04-25T10:48:00Z</cp:lastPrinted>
  <dcterms:created xsi:type="dcterms:W3CDTF">2022-02-21T09:02:00Z</dcterms:created>
  <dcterms:modified xsi:type="dcterms:W3CDTF">2025-04-21T00:38:23Z</dcterms:modified>
  <cp:revision>49</cp:revision>
</cp:coreProperties>
</file>